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jc w:val="center"/>
      </w:pPr>
      <w:r>
        <w:rPr>
          <w:b/>
          <w:bCs/>
          <w:color w:val="595959"/>
          <w:sz w:val="30"/>
          <w:szCs w:val="30"/>
        </w:rPr>
        <w:t xml:space="preserve">SAP FICO INTERNSHIP PROGRAMME</w:t>
      </w:r>
    </w:p>
    <w:p>
      <w:pPr>
        <w:spacing w:before="400"/>
        <w:jc w:val="center"/>
      </w:pPr>
      <w:r>
        <w:rPr>
          <w:b/>
          <w:bCs/>
          <w:color w:val="1F3864"/>
          <w:sz w:val="44"/>
          <w:szCs w:val="44"/>
        </w:rPr>
        <w:t xml:space="preserve">Week 1 Task</w:t>
      </w:r>
    </w:p>
    <w:p>
      <w:pPr>
        <w:spacing w:after="500" w:before="120"/>
        <w:jc w:val="center"/>
      </w:pPr>
      <w:r>
        <w:rPr>
          <w:b/>
          <w:bCs/>
          <w:color w:val="2E5395"/>
          <w:sz w:val="40"/>
          <w:szCs w:val="40"/>
        </w:rPr>
        <w:t xml:space="preserve">Understanding SAP FICO</w:t>
      </w:r>
    </w:p>
    <w:p>
      <w:pPr>
        <w:pBdr>
          <w:top w:val="single" w:color="2E5395" w:sz="8" w:space="8"/>
        </w:pBdr>
        <w:jc w:val="center"/>
      </w:pPr>
      <w:r>
        <w:t xml:space="preserve"/>
      </w:r>
    </w:p>
    <w:p>
      <w:pPr>
        <w:spacing w:before="700"/>
        <w:jc w:val="center"/>
      </w:pPr>
      <w:r>
        <w:rPr>
          <w:color w:val="595959"/>
          <w:sz w:val="22"/>
          <w:szCs w:val="22"/>
        </w:rPr>
        <w:t xml:space="preserve">A Research Report on the Fundamentals, Functionalities and</w:t>
      </w:r>
    </w:p>
    <w:p>
      <w:pPr>
        <w:jc w:val="center"/>
      </w:pPr>
      <w:r>
        <w:rPr>
          <w:color w:val="595959"/>
          <w:sz w:val="22"/>
          <w:szCs w:val="22"/>
        </w:rPr>
        <w:t xml:space="preserve">Cross-Module Integration of SAP Financial Accounting and Controlling</w:t>
      </w:r>
    </w:p>
    <w:p>
      <w:pPr>
        <w:spacing w:before="1400"/>
        <w:jc w:val="center"/>
      </w:pPr>
      <w:r>
        <w:rPr>
          <w:b/>
          <w:bCs/>
          <w:sz w:val="24"/>
          <w:szCs w:val="24"/>
        </w:rPr>
        <w:t xml:space="preserve">Prepared by: Shreyash Gongale</w:t>
      </w:r>
    </w:p>
    <w:p>
      <w:pPr>
        <w:spacing w:before="120"/>
        <w:jc w:val="center"/>
      </w:pPr>
      <w:r>
        <w:rPr>
          <w:color w:val="595959"/>
          <w:sz w:val="22"/>
          <w:szCs w:val="22"/>
        </w:rPr>
        <w:t xml:space="preserve">Role: SAP FICO Intern</w:t>
      </w:r>
    </w:p>
    <w:p>
      <w:pPr>
        <w:spacing w:before="120"/>
        <w:jc w:val="center"/>
      </w:pPr>
      <w:r>
        <w:rPr>
          <w:color w:val="595959"/>
          <w:sz w:val="22"/>
          <w:szCs w:val="22"/>
        </w:rPr>
        <w:t xml:space="preserve">Date: 10 September 2026</w:t>
      </w:r>
    </w:p>
    <w:p>
      <w:pPr>
        <w:sectPr>
          <w:pgSz w:w="12240" w:h="15840" w:orient="portrait"/>
          <w:pgMar w:top="1440" w:right="1440" w:bottom="1440" w:left="1440" w:header="708" w:footer="708" w:gutter="0"/>
          <w:pgNumType/>
          <w:docGrid w:linePitch="360"/>
        </w:sectPr>
      </w:pPr>
    </w:p>
    <w:p>
      <w:pPr>
        <w:pStyle w:val="Heading1"/>
        <w:spacing w:after="240"/>
      </w:pPr>
      <w:r>
        <w:rPr>
          <w:b/>
          <w:bCs/>
          <w:color w:val="1F3864"/>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sectPr>
          <w:pgSz w:w="12240" w:h="15840" w:orient="portrait"/>
          <w:pgMar w:top="1440" w:right="1440" w:bottom="1440" w:left="1440" w:header="708" w:footer="708" w:gutter="0"/>
          <w:pgNumType/>
          <w:docGrid w:linePitch="360"/>
        </w:sectPr>
      </w:pPr>
    </w:p>
    <w:p>
      <w:pPr>
        <w:pStyle w:val="Heading1"/>
        <w:pBdr>
          <w:bottom w:val="single" w:color="2E5395" w:sz="6" w:space="4"/>
        </w:pBdr>
        <w:spacing w:after="160" w:before="360"/>
      </w:pPr>
      <w:r>
        <w:rPr>
          <w:b/>
          <w:bCs/>
          <w:color w:val="1F3864"/>
        </w:rPr>
        <w:t xml:space="preserve">1. Objective of This Task</w:t>
      </w:r>
    </w:p>
    <w:p>
      <w:pPr>
        <w:spacing w:after="160" w:line="276"/>
        <w:jc w:val="both"/>
      </w:pPr>
      <w:r>
        <w:rPr>
          <w:sz w:val="22"/>
          <w:szCs w:val="22"/>
        </w:rPr>
        <w:t xml:space="preserve">This report forms the deliverable for Week 1 of the SAP FICO internship. The objective for the week is to build a foundational, research-based understanding of SAP FICO — its core definitions, functionalities, sub-modules, and the way it integrates with other SAP modules — and to critically evaluate its benefits and challenges in a live business environment. The findings below are structured to move from definition, to functional depth, to cross-module integration, to a balanced assessment of value and difficulty, so that the underlying “why” of SAP FICO's design is as clear as the “what.”</w:t>
      </w:r>
    </w:p>
    <w:p>
      <w:pPr>
        <w:pStyle w:val="Heading1"/>
        <w:pBdr>
          <w:bottom w:val="single" w:color="2E5395" w:sz="6" w:space="4"/>
        </w:pBdr>
        <w:spacing w:after="160" w:before="360"/>
      </w:pPr>
      <w:r>
        <w:rPr>
          <w:b/>
          <w:bCs/>
          <w:color w:val="1F3864"/>
        </w:rPr>
        <w:t xml:space="preserve">2. Introduction to SAP FICO</w:t>
      </w:r>
    </w:p>
    <w:p>
      <w:pPr>
        <w:spacing w:after="160" w:line="276"/>
        <w:jc w:val="both"/>
      </w:pPr>
      <w:r>
        <w:rPr>
          <w:sz w:val="22"/>
          <w:szCs w:val="22"/>
        </w:rPr>
        <w:t xml:space="preserve">SAP FICO is the finance backbone of SAP's Enterprise Resource Planning (ERP) suite — available today both in the legacy SAP ECC landscape and in the current SAP S/4HANA Finance offering. The name is a portmanteau of its two constituent modules: FI (Financial Accounting) and CO (Controlling). Together they capture, structure, and report every financial and managerial-accounting event that occurs in an organisation, from a single vendor invoice to a consolidated group balance sheet.</w:t>
      </w:r>
    </w:p>
    <w:p>
      <w:pPr>
        <w:spacing w:after="160" w:line="276"/>
        <w:jc w:val="both"/>
      </w:pPr>
      <w:r>
        <w:rPr>
          <w:sz w:val="22"/>
          <w:szCs w:val="22"/>
        </w:rPr>
        <w:t xml:space="preserve">FI is the “external” or statutory accounting engine: it exists to produce legally compliant financial statements — the balance sheet, profit and loss statement, and cash flow statement — for regulators, tax authorities, auditors, and shareholders. CO, by contrast, is the “internal” or managerial accounting engine: it exists purely to help management understand where cost and profit actually arise inside the business, and it has no external statutory reporting obligation of its own.</w:t>
      </w:r>
    </w:p>
    <w:p>
      <w:pPr>
        <w:spacing w:after="160" w:line="276"/>
        <w:jc w:val="both"/>
      </w:pPr>
      <w:r>
        <w:rPr>
          <w:sz w:val="22"/>
          <w:szCs w:val="22"/>
        </w:rPr>
        <w:t xml:space="preserve">What makes SAP FICO distinctive is not that it performs bookkeeping — every ERP does that — but that every financially relevant transaction created anywhere in SAP (a goods receipt in Materials Management, a customer invoice in Sales and Distribution, a payroll run in Human Capital Management) automatically generates a real-time posting in FI and, where relevant, a parallel cost or revenue posting in CO. This single-entry-point, multiple-consumption design is the reason SAP FICO is usually described as the system of record for enterprise finance.</w:t>
      </w:r>
    </w:p>
    <w:p>
      <w:pPr>
        <w:pStyle w:val="Heading1"/>
        <w:pBdr>
          <w:bottom w:val="single" w:color="2E5395" w:sz="6" w:space="4"/>
        </w:pBdr>
        <w:spacing w:after="160" w:before="360"/>
      </w:pPr>
      <w:r>
        <w:rPr>
          <w:b/>
          <w:bCs/>
          <w:color w:val="1F3864"/>
        </w:rPr>
        <w:t xml:space="preserve">3. SAP FI — Financial Accounting</w:t>
      </w:r>
    </w:p>
    <w:p>
      <w:pPr>
        <w:spacing w:after="160" w:line="276"/>
        <w:jc w:val="both"/>
      </w:pPr>
      <w:r>
        <w:rPr>
          <w:sz w:val="22"/>
          <w:szCs w:val="22"/>
        </w:rPr>
        <w:t xml:space="preserve">SAP FI is organised around “organisational units” — primarily the company code, which represents an independent legal entity capable of producing its own balance sheet — and a set of sub-modules that each own a distinct accounting process:</w:t>
      </w:r>
    </w:p>
    <w:p>
      <w:pPr>
        <w:pStyle w:val="ListParagraph"/>
        <w:numPr>
          <w:ilvl w:val="0"/>
          <w:numId w:val="2"/>
        </w:numPr>
        <w:spacing w:after="80" w:line="276"/>
      </w:pPr>
      <w:r>
        <w:rPr>
          <w:b/>
          <w:bCs/>
          <w:sz w:val="22"/>
          <w:szCs w:val="22"/>
        </w:rPr>
        <w:t xml:space="preserve">General Ledger (FI-GL): </w:t>
      </w:r>
      <w:r>
        <w:rPr>
          <w:sz w:val="22"/>
          <w:szCs w:val="22"/>
        </w:rPr>
        <w:t xml:space="preserve">the central repository of all accounting entries; every FI sub-module and every integrated posting from MM, SD, HCM, etc. ultimately lands in the GL, which is what makes the trial balance and financial statements possible.</w:t>
      </w:r>
    </w:p>
    <w:p>
      <w:pPr>
        <w:pStyle w:val="ListParagraph"/>
        <w:numPr>
          <w:ilvl w:val="0"/>
          <w:numId w:val="2"/>
        </w:numPr>
        <w:spacing w:after="80" w:line="276"/>
      </w:pPr>
      <w:r>
        <w:rPr>
          <w:b/>
          <w:bCs/>
          <w:sz w:val="22"/>
          <w:szCs w:val="22"/>
        </w:rPr>
        <w:t xml:space="preserve">Accounts Payable (FI-AP): </w:t>
      </w:r>
      <w:r>
        <w:rPr>
          <w:sz w:val="22"/>
          <w:szCs w:val="22"/>
        </w:rPr>
        <w:t xml:space="preserve">manages vendor master data, invoice verification, payment runs, and vendor-side reconciliation; it is tightly integrated with Procurement (MM).</w:t>
      </w:r>
    </w:p>
    <w:p>
      <w:pPr>
        <w:pStyle w:val="ListParagraph"/>
        <w:numPr>
          <w:ilvl w:val="0"/>
          <w:numId w:val="2"/>
        </w:numPr>
        <w:spacing w:after="80" w:line="276"/>
      </w:pPr>
      <w:r>
        <w:rPr>
          <w:b/>
          <w:bCs/>
          <w:sz w:val="22"/>
          <w:szCs w:val="22"/>
        </w:rPr>
        <w:t xml:space="preserve">Accounts Receivable (FI-AR): </w:t>
      </w:r>
      <w:r>
        <w:rPr>
          <w:sz w:val="22"/>
          <w:szCs w:val="22"/>
        </w:rPr>
        <w:t xml:space="preserve">manages customer master data, customer invoicing, incoming payments, dunning, and credit management; it is tightly integrated with Sales (SD).</w:t>
      </w:r>
    </w:p>
    <w:p>
      <w:pPr>
        <w:pStyle w:val="ListParagraph"/>
        <w:numPr>
          <w:ilvl w:val="0"/>
          <w:numId w:val="2"/>
        </w:numPr>
        <w:spacing w:after="80" w:line="276"/>
      </w:pPr>
      <w:r>
        <w:rPr>
          <w:b/>
          <w:bCs/>
          <w:sz w:val="22"/>
          <w:szCs w:val="22"/>
        </w:rPr>
        <w:t xml:space="preserve">Asset Accounting (FI-AA): </w:t>
      </w:r>
      <w:r>
        <w:rPr>
          <w:sz w:val="22"/>
          <w:szCs w:val="22"/>
        </w:rPr>
        <w:t xml:space="preserve">tracks the full lifecycle of fixed assets — acquisition, capitalisation, depreciation, transfers, and retirement — and posts depreciation to the GL on a scheduled basis.</w:t>
      </w:r>
    </w:p>
    <w:p>
      <w:pPr>
        <w:pStyle w:val="ListParagraph"/>
        <w:numPr>
          <w:ilvl w:val="0"/>
          <w:numId w:val="2"/>
        </w:numPr>
        <w:spacing w:after="80" w:line="276"/>
      </w:pPr>
      <w:r>
        <w:rPr>
          <w:b/>
          <w:bCs/>
          <w:sz w:val="22"/>
          <w:szCs w:val="22"/>
        </w:rPr>
        <w:t xml:space="preserve">Bank Accounting (FI-BL): </w:t>
      </w:r>
      <w:r>
        <w:rPr>
          <w:sz w:val="22"/>
          <w:szCs w:val="22"/>
        </w:rPr>
        <w:t xml:space="preserve">handles house bank master data, bank statement processing, and reconciliation of bank-related transactions.</w:t>
      </w:r>
    </w:p>
    <w:p>
      <w:pPr>
        <w:pStyle w:val="ListParagraph"/>
        <w:numPr>
          <w:ilvl w:val="0"/>
          <w:numId w:val="2"/>
        </w:numPr>
        <w:spacing w:after="80" w:line="276"/>
      </w:pPr>
      <w:r>
        <w:rPr>
          <w:b/>
          <w:bCs/>
          <w:sz w:val="22"/>
          <w:szCs w:val="22"/>
        </w:rPr>
        <w:t xml:space="preserve">Travel Management &amp; Funds Management: </w:t>
      </w:r>
      <w:r>
        <w:rPr>
          <w:sz w:val="22"/>
          <w:szCs w:val="22"/>
        </w:rPr>
        <w:t xml:space="preserve">narrower sub-modules used respectively for employee travel expense processing and for budgetary control in public-sector or grant-funded organisations.</w:t>
      </w:r>
    </w:p>
    <w:p>
      <w:pPr>
        <w:pStyle w:val="Heading1"/>
        <w:pBdr>
          <w:bottom w:val="single" w:color="2E5395" w:sz="6" w:space="4"/>
        </w:pBdr>
        <w:spacing w:after="160" w:before="360"/>
      </w:pPr>
      <w:r>
        <w:rPr>
          <w:b/>
          <w:bCs/>
          <w:color w:val="1F3864"/>
        </w:rPr>
        <w:t xml:space="preserve">4. SAP CO — Controlling</w:t>
      </w:r>
    </w:p>
    <w:p>
      <w:pPr>
        <w:spacing w:after="160" w:line="276"/>
        <w:jc w:val="both"/>
      </w:pPr>
      <w:r>
        <w:rPr>
          <w:sz w:val="22"/>
          <w:szCs w:val="22"/>
        </w:rPr>
        <w:t xml:space="preserve">Where FI answers “what happened financially,” CO answers “where did it happen, and was it efficient.” Its sub-modules are:</w:t>
      </w:r>
    </w:p>
    <w:p>
      <w:pPr>
        <w:pStyle w:val="ListParagraph"/>
        <w:numPr>
          <w:ilvl w:val="0"/>
          <w:numId w:val="2"/>
        </w:numPr>
        <w:spacing w:after="80" w:line="276"/>
      </w:pPr>
      <w:r>
        <w:rPr>
          <w:b/>
          <w:bCs/>
          <w:sz w:val="22"/>
          <w:szCs w:val="22"/>
        </w:rPr>
        <w:t xml:space="preserve">Cost Element Accounting (CO-CEA): </w:t>
      </w:r>
      <w:r>
        <w:rPr>
          <w:sz w:val="22"/>
          <w:szCs w:val="22"/>
        </w:rPr>
        <w:t xml:space="preserve">classifies GL expense and revenue accounts as cost or revenue elements so that every FI posting can be traced into the CO layer.</w:t>
      </w:r>
    </w:p>
    <w:p>
      <w:pPr>
        <w:pStyle w:val="ListParagraph"/>
        <w:numPr>
          <w:ilvl w:val="0"/>
          <w:numId w:val="2"/>
        </w:numPr>
        <w:spacing w:after="80" w:line="276"/>
      </w:pPr>
      <w:r>
        <w:rPr>
          <w:b/>
          <w:bCs/>
          <w:sz w:val="22"/>
          <w:szCs w:val="22"/>
        </w:rPr>
        <w:t xml:space="preserve">Cost Center Accounting (CO-CCA): </w:t>
      </w:r>
      <w:r>
        <w:rPr>
          <w:sz w:val="22"/>
          <w:szCs w:val="22"/>
        </w:rPr>
        <w:t xml:space="preserve">assigns costs to the organisational unit (department, plant, team) that actually incurred them, enabling budget-versus-actual analysis by responsibility area.</w:t>
      </w:r>
    </w:p>
    <w:p>
      <w:pPr>
        <w:pStyle w:val="ListParagraph"/>
        <w:numPr>
          <w:ilvl w:val="0"/>
          <w:numId w:val="2"/>
        </w:numPr>
        <w:spacing w:after="80" w:line="276"/>
      </w:pPr>
      <w:r>
        <w:rPr>
          <w:b/>
          <w:bCs/>
          <w:sz w:val="22"/>
          <w:szCs w:val="22"/>
        </w:rPr>
        <w:t xml:space="preserve">Internal Orders (CO-IO): </w:t>
      </w:r>
      <w:r>
        <w:rPr>
          <w:sz w:val="22"/>
          <w:szCs w:val="22"/>
        </w:rPr>
        <w:t xml:space="preserve">a flexible, short-lived cost object used to track spend on a specific event, campaign, or minor project that does not warrant a full project structure.</w:t>
      </w:r>
    </w:p>
    <w:p>
      <w:pPr>
        <w:pStyle w:val="ListParagraph"/>
        <w:numPr>
          <w:ilvl w:val="0"/>
          <w:numId w:val="2"/>
        </w:numPr>
        <w:spacing w:after="80" w:line="276"/>
      </w:pPr>
      <w:r>
        <w:rPr>
          <w:b/>
          <w:bCs/>
          <w:sz w:val="22"/>
          <w:szCs w:val="22"/>
        </w:rPr>
        <w:t xml:space="preserve">Profit Center Accounting (CO-PCA): </w:t>
      </w:r>
      <w:r>
        <w:rPr>
          <w:sz w:val="22"/>
          <w:szCs w:val="22"/>
        </w:rPr>
        <w:t xml:space="preserve">measures profitability by internal business unit or product line, effectively creating mini P&amp;Ls inside a single legal entity.</w:t>
      </w:r>
    </w:p>
    <w:p>
      <w:pPr>
        <w:pStyle w:val="ListParagraph"/>
        <w:numPr>
          <w:ilvl w:val="0"/>
          <w:numId w:val="2"/>
        </w:numPr>
        <w:spacing w:after="80" w:line="276"/>
      </w:pPr>
      <w:r>
        <w:rPr>
          <w:b/>
          <w:bCs/>
          <w:sz w:val="22"/>
          <w:szCs w:val="22"/>
        </w:rPr>
        <w:t xml:space="preserve">Product Costing (CO-PC): </w:t>
      </w:r>
      <w:r>
        <w:rPr>
          <w:sz w:val="22"/>
          <w:szCs w:val="22"/>
        </w:rPr>
        <w:t xml:space="preserve">calculates the planned and actual cost of manufacturing a product, consuming data from Production Planning (PP) and Materials Management (MM).</w:t>
      </w:r>
    </w:p>
    <w:p>
      <w:pPr>
        <w:pStyle w:val="ListParagraph"/>
        <w:numPr>
          <w:ilvl w:val="0"/>
          <w:numId w:val="2"/>
        </w:numPr>
        <w:spacing w:after="80" w:line="276"/>
      </w:pPr>
      <w:r>
        <w:rPr>
          <w:b/>
          <w:bCs/>
          <w:sz w:val="22"/>
          <w:szCs w:val="22"/>
        </w:rPr>
        <w:t xml:space="preserve">Profitability Analysis (CO-PA): </w:t>
      </w:r>
      <w:r>
        <w:rPr>
          <w:sz w:val="22"/>
          <w:szCs w:val="22"/>
        </w:rPr>
        <w:t xml:space="preserve">the most granular CO component; it evaluates profitability by market segment — customer, product, region, or channel — by combining CO cost data with SD revenue data.</w:t>
      </w:r>
    </w:p>
    <w:p>
      <w:pPr>
        <w:pStyle w:val="Heading1"/>
        <w:pBdr>
          <w:bottom w:val="single" w:color="2E5395" w:sz="6" w:space="4"/>
        </w:pBdr>
        <w:spacing w:after="160" w:before="360"/>
      </w:pPr>
      <w:r>
        <w:rPr>
          <w:b/>
          <w:bCs/>
          <w:color w:val="1F3864"/>
        </w:rPr>
        <w:t xml:space="preserve">5. Core Functionalities — Sub-Module Summary</w:t>
      </w:r>
    </w:p>
    <w:p>
      <w:pPr>
        <w:spacing w:after="160" w:line="276"/>
        <w:jc w:val="both"/>
      </w:pPr>
      <w:r>
        <w:rPr>
          <w:sz w:val="22"/>
          <w:szCs w:val="22"/>
        </w:rPr>
        <w:t xml:space="preserve">The table below consolidates the functional purpose of each SAP FICO sub-module discussed above, for quick reference.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200"/>
        <w:gridCol w:w="1300"/>
        <w:gridCol w:w="5000"/>
      </w:tblGrid>
      <w:tr>
        <w:trPr>
          <w:tblHeader/>
        </w:trPr>
        <w:tc>
          <w:tcPr>
            <w:tcW w:type="dxa" w:w="3200"/>
            <w:shd w:fill="1F3864" w:val="clear"/>
            <w:tcMar>
              <w:top w:type="dxa" w:w="100"/>
              <w:left w:type="dxa" w:w="120"/>
              <w:bottom w:type="dxa" w:w="100"/>
              <w:right w:type="dxa" w:w="120"/>
            </w:tcMar>
            <w:vAlign w:val="center"/>
          </w:tcPr>
          <w:p>
            <w:r>
              <w:rPr>
                <w:b/>
                <w:bCs/>
                <w:color w:val="FFFFFF"/>
                <w:sz w:val="20"/>
                <w:szCs w:val="20"/>
              </w:rPr>
              <w:t xml:space="preserve">Sub-Module</w:t>
            </w:r>
          </w:p>
        </w:tc>
        <w:tc>
          <w:tcPr>
            <w:tcW w:type="dxa" w:w="1300"/>
            <w:shd w:fill="1F3864" w:val="clear"/>
            <w:tcMar>
              <w:top w:type="dxa" w:w="100"/>
              <w:left w:type="dxa" w:w="120"/>
              <w:bottom w:type="dxa" w:w="100"/>
              <w:right w:type="dxa" w:w="120"/>
            </w:tcMar>
            <w:vAlign w:val="center"/>
          </w:tcPr>
          <w:p>
            <w:r>
              <w:rPr>
                <w:b/>
                <w:bCs/>
                <w:color w:val="FFFFFF"/>
                <w:sz w:val="20"/>
                <w:szCs w:val="20"/>
              </w:rPr>
              <w:t xml:space="preserve">Module</w:t>
            </w:r>
          </w:p>
        </w:tc>
        <w:tc>
          <w:tcPr>
            <w:tcW w:type="dxa" w:w="5000"/>
            <w:shd w:fill="1F3864" w:val="clear"/>
            <w:tcMar>
              <w:top w:type="dxa" w:w="100"/>
              <w:left w:type="dxa" w:w="120"/>
              <w:bottom w:type="dxa" w:w="100"/>
              <w:right w:type="dxa" w:w="120"/>
            </w:tcMar>
            <w:vAlign w:val="center"/>
          </w:tcPr>
          <w:p>
            <w:r>
              <w:rPr>
                <w:b/>
                <w:bCs/>
                <w:color w:val="FFFFFF"/>
                <w:sz w:val="20"/>
                <w:szCs w:val="20"/>
              </w:rPr>
              <w:t xml:space="preserve">Primary Function</w:t>
            </w:r>
          </w:p>
        </w:tc>
      </w:tr>
      <w:tr>
        <w:tc>
          <w:tcPr>
            <w:tcW w:type="dxa" w:w="3200"/>
            <w:tcMar>
              <w:top w:type="dxa" w:w="100"/>
              <w:left w:type="dxa" w:w="120"/>
              <w:bottom w:type="dxa" w:w="100"/>
              <w:right w:type="dxa" w:w="120"/>
            </w:tcMar>
            <w:vAlign w:val="center"/>
          </w:tcPr>
          <w:p>
            <w:r>
              <w:rPr>
                <w:b w:val="false"/>
                <w:bCs w:val="false"/>
                <w:color w:val="000000"/>
                <w:sz w:val="20"/>
                <w:szCs w:val="20"/>
              </w:rPr>
              <w:t xml:space="preserve">General Ledger (GL)</w:t>
            </w:r>
          </w:p>
        </w:tc>
        <w:tc>
          <w:tcPr>
            <w:tcW w:type="dxa" w:w="1300"/>
            <w:tcMar>
              <w:top w:type="dxa" w:w="100"/>
              <w:left w:type="dxa" w:w="120"/>
              <w:bottom w:type="dxa" w:w="100"/>
              <w:right w:type="dxa" w:w="120"/>
            </w:tcMar>
            <w:vAlign w:val="center"/>
          </w:tcPr>
          <w:p>
            <w:r>
              <w:rPr>
                <w:b w:val="false"/>
                <w:bCs w:val="false"/>
                <w:color w:val="000000"/>
                <w:sz w:val="20"/>
                <w:szCs w:val="20"/>
              </w:rPr>
              <w:t xml:space="preserve">FI</w:t>
            </w:r>
          </w:p>
        </w:tc>
        <w:tc>
          <w:tcPr>
            <w:tcW w:type="dxa" w:w="5000"/>
            <w:tcMar>
              <w:top w:type="dxa" w:w="100"/>
              <w:left w:type="dxa" w:w="120"/>
              <w:bottom w:type="dxa" w:w="100"/>
              <w:right w:type="dxa" w:w="120"/>
            </w:tcMar>
            <w:vAlign w:val="center"/>
          </w:tcPr>
          <w:p>
            <w:r>
              <w:rPr>
                <w:b w:val="false"/>
                <w:bCs w:val="false"/>
                <w:color w:val="000000"/>
                <w:sz w:val="20"/>
                <w:szCs w:val="20"/>
              </w:rPr>
              <w:t xml:space="preserve">Central ledger for all accounting entries; source of financial statements</w:t>
            </w:r>
          </w:p>
        </w:tc>
      </w:tr>
      <w:tr>
        <w:tc>
          <w:tcPr>
            <w:tcW w:type="dxa" w:w="3200"/>
            <w:shd w:fill="DCE6F1" w:val="clear"/>
            <w:tcMar>
              <w:top w:type="dxa" w:w="100"/>
              <w:left w:type="dxa" w:w="120"/>
              <w:bottom w:type="dxa" w:w="100"/>
              <w:right w:type="dxa" w:w="120"/>
            </w:tcMar>
            <w:vAlign w:val="center"/>
          </w:tcPr>
          <w:p>
            <w:r>
              <w:rPr>
                <w:b w:val="false"/>
                <w:bCs w:val="false"/>
                <w:color w:val="000000"/>
                <w:sz w:val="20"/>
                <w:szCs w:val="20"/>
              </w:rPr>
              <w:t xml:space="preserve">Accounts Payable (AP)</w:t>
            </w:r>
          </w:p>
        </w:tc>
        <w:tc>
          <w:tcPr>
            <w:tcW w:type="dxa" w:w="1300"/>
            <w:shd w:fill="DCE6F1" w:val="clear"/>
            <w:tcMar>
              <w:top w:type="dxa" w:w="100"/>
              <w:left w:type="dxa" w:w="120"/>
              <w:bottom w:type="dxa" w:w="100"/>
              <w:right w:type="dxa" w:w="120"/>
            </w:tcMar>
            <w:vAlign w:val="center"/>
          </w:tcPr>
          <w:p>
            <w:r>
              <w:rPr>
                <w:b w:val="false"/>
                <w:bCs w:val="false"/>
                <w:color w:val="000000"/>
                <w:sz w:val="20"/>
                <w:szCs w:val="20"/>
              </w:rPr>
              <w:t xml:space="preserve">FI</w:t>
            </w:r>
          </w:p>
        </w:tc>
        <w:tc>
          <w:tcPr>
            <w:tcW w:type="dxa" w:w="5000"/>
            <w:shd w:fill="DCE6F1" w:val="clear"/>
            <w:tcMar>
              <w:top w:type="dxa" w:w="100"/>
              <w:left w:type="dxa" w:w="120"/>
              <w:bottom w:type="dxa" w:w="100"/>
              <w:right w:type="dxa" w:w="120"/>
            </w:tcMar>
            <w:vAlign w:val="center"/>
          </w:tcPr>
          <w:p>
            <w:r>
              <w:rPr>
                <w:b w:val="false"/>
                <w:bCs w:val="false"/>
                <w:color w:val="000000"/>
                <w:sz w:val="20"/>
                <w:szCs w:val="20"/>
              </w:rPr>
              <w:t xml:space="preserve">Vendor invoices, payments, and vendor reconciliation</w:t>
            </w:r>
          </w:p>
        </w:tc>
      </w:tr>
      <w:tr>
        <w:tc>
          <w:tcPr>
            <w:tcW w:type="dxa" w:w="3200"/>
            <w:tcMar>
              <w:top w:type="dxa" w:w="100"/>
              <w:left w:type="dxa" w:w="120"/>
              <w:bottom w:type="dxa" w:w="100"/>
              <w:right w:type="dxa" w:w="120"/>
            </w:tcMar>
            <w:vAlign w:val="center"/>
          </w:tcPr>
          <w:p>
            <w:r>
              <w:rPr>
                <w:b w:val="false"/>
                <w:bCs w:val="false"/>
                <w:color w:val="000000"/>
                <w:sz w:val="20"/>
                <w:szCs w:val="20"/>
              </w:rPr>
              <w:t xml:space="preserve">Accounts Receivable (AR)</w:t>
            </w:r>
          </w:p>
        </w:tc>
        <w:tc>
          <w:tcPr>
            <w:tcW w:type="dxa" w:w="1300"/>
            <w:tcMar>
              <w:top w:type="dxa" w:w="100"/>
              <w:left w:type="dxa" w:w="120"/>
              <w:bottom w:type="dxa" w:w="100"/>
              <w:right w:type="dxa" w:w="120"/>
            </w:tcMar>
            <w:vAlign w:val="center"/>
          </w:tcPr>
          <w:p>
            <w:r>
              <w:rPr>
                <w:b w:val="false"/>
                <w:bCs w:val="false"/>
                <w:color w:val="000000"/>
                <w:sz w:val="20"/>
                <w:szCs w:val="20"/>
              </w:rPr>
              <w:t xml:space="preserve">FI</w:t>
            </w:r>
          </w:p>
        </w:tc>
        <w:tc>
          <w:tcPr>
            <w:tcW w:type="dxa" w:w="5000"/>
            <w:tcMar>
              <w:top w:type="dxa" w:w="100"/>
              <w:left w:type="dxa" w:w="120"/>
              <w:bottom w:type="dxa" w:w="100"/>
              <w:right w:type="dxa" w:w="120"/>
            </w:tcMar>
            <w:vAlign w:val="center"/>
          </w:tcPr>
          <w:p>
            <w:r>
              <w:rPr>
                <w:b w:val="false"/>
                <w:bCs w:val="false"/>
                <w:color w:val="000000"/>
                <w:sz w:val="20"/>
                <w:szCs w:val="20"/>
              </w:rPr>
              <w:t xml:space="preserve">Customer invoices, incoming payments, credit and dunning management</w:t>
            </w:r>
          </w:p>
        </w:tc>
      </w:tr>
      <w:tr>
        <w:tc>
          <w:tcPr>
            <w:tcW w:type="dxa" w:w="3200"/>
            <w:shd w:fill="DCE6F1" w:val="clear"/>
            <w:tcMar>
              <w:top w:type="dxa" w:w="100"/>
              <w:left w:type="dxa" w:w="120"/>
              <w:bottom w:type="dxa" w:w="100"/>
              <w:right w:type="dxa" w:w="120"/>
            </w:tcMar>
            <w:vAlign w:val="center"/>
          </w:tcPr>
          <w:p>
            <w:r>
              <w:rPr>
                <w:b w:val="false"/>
                <w:bCs w:val="false"/>
                <w:color w:val="000000"/>
                <w:sz w:val="20"/>
                <w:szCs w:val="20"/>
              </w:rPr>
              <w:t xml:space="preserve">Asset Accounting (AA)</w:t>
            </w:r>
          </w:p>
        </w:tc>
        <w:tc>
          <w:tcPr>
            <w:tcW w:type="dxa" w:w="1300"/>
            <w:shd w:fill="DCE6F1" w:val="clear"/>
            <w:tcMar>
              <w:top w:type="dxa" w:w="100"/>
              <w:left w:type="dxa" w:w="120"/>
              <w:bottom w:type="dxa" w:w="100"/>
              <w:right w:type="dxa" w:w="120"/>
            </w:tcMar>
            <w:vAlign w:val="center"/>
          </w:tcPr>
          <w:p>
            <w:r>
              <w:rPr>
                <w:b w:val="false"/>
                <w:bCs w:val="false"/>
                <w:color w:val="000000"/>
                <w:sz w:val="20"/>
                <w:szCs w:val="20"/>
              </w:rPr>
              <w:t xml:space="preserve">FI</w:t>
            </w:r>
          </w:p>
        </w:tc>
        <w:tc>
          <w:tcPr>
            <w:tcW w:type="dxa" w:w="5000"/>
            <w:shd w:fill="DCE6F1" w:val="clear"/>
            <w:tcMar>
              <w:top w:type="dxa" w:w="100"/>
              <w:left w:type="dxa" w:w="120"/>
              <w:bottom w:type="dxa" w:w="100"/>
              <w:right w:type="dxa" w:w="120"/>
            </w:tcMar>
            <w:vAlign w:val="center"/>
          </w:tcPr>
          <w:p>
            <w:r>
              <w:rPr>
                <w:b w:val="false"/>
                <w:bCs w:val="false"/>
                <w:color w:val="000000"/>
                <w:sz w:val="20"/>
                <w:szCs w:val="20"/>
              </w:rPr>
              <w:t xml:space="preserve">Fixed asset lifecycle and depreciation posting</w:t>
            </w:r>
          </w:p>
        </w:tc>
      </w:tr>
      <w:tr>
        <w:tc>
          <w:tcPr>
            <w:tcW w:type="dxa" w:w="3200"/>
            <w:tcMar>
              <w:top w:type="dxa" w:w="100"/>
              <w:left w:type="dxa" w:w="120"/>
              <w:bottom w:type="dxa" w:w="100"/>
              <w:right w:type="dxa" w:w="120"/>
            </w:tcMar>
            <w:vAlign w:val="center"/>
          </w:tcPr>
          <w:p>
            <w:r>
              <w:rPr>
                <w:b w:val="false"/>
                <w:bCs w:val="false"/>
                <w:color w:val="000000"/>
                <w:sz w:val="20"/>
                <w:szCs w:val="20"/>
              </w:rPr>
              <w:t xml:space="preserve">Bank Accounting</w:t>
            </w:r>
          </w:p>
        </w:tc>
        <w:tc>
          <w:tcPr>
            <w:tcW w:type="dxa" w:w="1300"/>
            <w:tcMar>
              <w:top w:type="dxa" w:w="100"/>
              <w:left w:type="dxa" w:w="120"/>
              <w:bottom w:type="dxa" w:w="100"/>
              <w:right w:type="dxa" w:w="120"/>
            </w:tcMar>
            <w:vAlign w:val="center"/>
          </w:tcPr>
          <w:p>
            <w:r>
              <w:rPr>
                <w:b w:val="false"/>
                <w:bCs w:val="false"/>
                <w:color w:val="000000"/>
                <w:sz w:val="20"/>
                <w:szCs w:val="20"/>
              </w:rPr>
              <w:t xml:space="preserve">FI</w:t>
            </w:r>
          </w:p>
        </w:tc>
        <w:tc>
          <w:tcPr>
            <w:tcW w:type="dxa" w:w="5000"/>
            <w:tcMar>
              <w:top w:type="dxa" w:w="100"/>
              <w:left w:type="dxa" w:w="120"/>
              <w:bottom w:type="dxa" w:w="100"/>
              <w:right w:type="dxa" w:w="120"/>
            </w:tcMar>
            <w:vAlign w:val="center"/>
          </w:tcPr>
          <w:p>
            <w:r>
              <w:rPr>
                <w:b w:val="false"/>
                <w:bCs w:val="false"/>
                <w:color w:val="000000"/>
                <w:sz w:val="20"/>
                <w:szCs w:val="20"/>
              </w:rPr>
              <w:t xml:space="preserve">House bank data and bank statement reconciliation</w:t>
            </w:r>
          </w:p>
        </w:tc>
      </w:tr>
      <w:tr>
        <w:tc>
          <w:tcPr>
            <w:tcW w:type="dxa" w:w="3200"/>
            <w:shd w:fill="DCE6F1" w:val="clear"/>
            <w:tcMar>
              <w:top w:type="dxa" w:w="100"/>
              <w:left w:type="dxa" w:w="120"/>
              <w:bottom w:type="dxa" w:w="100"/>
              <w:right w:type="dxa" w:w="120"/>
            </w:tcMar>
            <w:vAlign w:val="center"/>
          </w:tcPr>
          <w:p>
            <w:r>
              <w:rPr>
                <w:b w:val="false"/>
                <w:bCs w:val="false"/>
                <w:color w:val="000000"/>
                <w:sz w:val="20"/>
                <w:szCs w:val="20"/>
              </w:rPr>
              <w:t xml:space="preserve">Cost Center Accounting</w:t>
            </w:r>
          </w:p>
        </w:tc>
        <w:tc>
          <w:tcPr>
            <w:tcW w:type="dxa" w:w="1300"/>
            <w:shd w:fill="DCE6F1" w:val="clear"/>
            <w:tcMar>
              <w:top w:type="dxa" w:w="100"/>
              <w:left w:type="dxa" w:w="120"/>
              <w:bottom w:type="dxa" w:w="100"/>
              <w:right w:type="dxa" w:w="120"/>
            </w:tcMar>
            <w:vAlign w:val="center"/>
          </w:tcPr>
          <w:p>
            <w:r>
              <w:rPr>
                <w:b w:val="false"/>
                <w:bCs w:val="false"/>
                <w:color w:val="000000"/>
                <w:sz w:val="20"/>
                <w:szCs w:val="20"/>
              </w:rPr>
              <w:t xml:space="preserve">CO</w:t>
            </w:r>
          </w:p>
        </w:tc>
        <w:tc>
          <w:tcPr>
            <w:tcW w:type="dxa" w:w="5000"/>
            <w:shd w:fill="DCE6F1" w:val="clear"/>
            <w:tcMar>
              <w:top w:type="dxa" w:w="100"/>
              <w:left w:type="dxa" w:w="120"/>
              <w:bottom w:type="dxa" w:w="100"/>
              <w:right w:type="dxa" w:w="120"/>
            </w:tcMar>
            <w:vAlign w:val="center"/>
          </w:tcPr>
          <w:p>
            <w:r>
              <w:rPr>
                <w:b w:val="false"/>
                <w:bCs w:val="false"/>
                <w:color w:val="000000"/>
                <w:sz w:val="20"/>
                <w:szCs w:val="20"/>
              </w:rPr>
              <w:t xml:space="preserve">Cost tracking and budgeting by responsibility area</w:t>
            </w:r>
          </w:p>
        </w:tc>
      </w:tr>
      <w:tr>
        <w:tc>
          <w:tcPr>
            <w:tcW w:type="dxa" w:w="3200"/>
            <w:tcMar>
              <w:top w:type="dxa" w:w="100"/>
              <w:left w:type="dxa" w:w="120"/>
              <w:bottom w:type="dxa" w:w="100"/>
              <w:right w:type="dxa" w:w="120"/>
            </w:tcMar>
            <w:vAlign w:val="center"/>
          </w:tcPr>
          <w:p>
            <w:r>
              <w:rPr>
                <w:b w:val="false"/>
                <w:bCs w:val="false"/>
                <w:color w:val="000000"/>
                <w:sz w:val="20"/>
                <w:szCs w:val="20"/>
              </w:rPr>
              <w:t xml:space="preserve">Internal Orders</w:t>
            </w:r>
          </w:p>
        </w:tc>
        <w:tc>
          <w:tcPr>
            <w:tcW w:type="dxa" w:w="1300"/>
            <w:tcMar>
              <w:top w:type="dxa" w:w="100"/>
              <w:left w:type="dxa" w:w="120"/>
              <w:bottom w:type="dxa" w:w="100"/>
              <w:right w:type="dxa" w:w="120"/>
            </w:tcMar>
            <w:vAlign w:val="center"/>
          </w:tcPr>
          <w:p>
            <w:r>
              <w:rPr>
                <w:b w:val="false"/>
                <w:bCs w:val="false"/>
                <w:color w:val="000000"/>
                <w:sz w:val="20"/>
                <w:szCs w:val="20"/>
              </w:rPr>
              <w:t xml:space="preserve">CO</w:t>
            </w:r>
          </w:p>
        </w:tc>
        <w:tc>
          <w:tcPr>
            <w:tcW w:type="dxa" w:w="5000"/>
            <w:tcMar>
              <w:top w:type="dxa" w:w="100"/>
              <w:left w:type="dxa" w:w="120"/>
              <w:bottom w:type="dxa" w:w="100"/>
              <w:right w:type="dxa" w:w="120"/>
            </w:tcMar>
            <w:vAlign w:val="center"/>
          </w:tcPr>
          <w:p>
            <w:r>
              <w:rPr>
                <w:b w:val="false"/>
                <w:bCs w:val="false"/>
                <w:color w:val="000000"/>
                <w:sz w:val="20"/>
                <w:szCs w:val="20"/>
              </w:rPr>
              <w:t xml:space="preserve">Short-term cost tracking for events or minor projects</w:t>
            </w:r>
          </w:p>
        </w:tc>
      </w:tr>
      <w:tr>
        <w:tc>
          <w:tcPr>
            <w:tcW w:type="dxa" w:w="3200"/>
            <w:shd w:fill="DCE6F1" w:val="clear"/>
            <w:tcMar>
              <w:top w:type="dxa" w:w="100"/>
              <w:left w:type="dxa" w:w="120"/>
              <w:bottom w:type="dxa" w:w="100"/>
              <w:right w:type="dxa" w:w="120"/>
            </w:tcMar>
            <w:vAlign w:val="center"/>
          </w:tcPr>
          <w:p>
            <w:r>
              <w:rPr>
                <w:b w:val="false"/>
                <w:bCs w:val="false"/>
                <w:color w:val="000000"/>
                <w:sz w:val="20"/>
                <w:szCs w:val="20"/>
              </w:rPr>
              <w:t xml:space="preserve">Profit Center Accounting</w:t>
            </w:r>
          </w:p>
        </w:tc>
        <w:tc>
          <w:tcPr>
            <w:tcW w:type="dxa" w:w="1300"/>
            <w:shd w:fill="DCE6F1" w:val="clear"/>
            <w:tcMar>
              <w:top w:type="dxa" w:w="100"/>
              <w:left w:type="dxa" w:w="120"/>
              <w:bottom w:type="dxa" w:w="100"/>
              <w:right w:type="dxa" w:w="120"/>
            </w:tcMar>
            <w:vAlign w:val="center"/>
          </w:tcPr>
          <w:p>
            <w:r>
              <w:rPr>
                <w:b w:val="false"/>
                <w:bCs w:val="false"/>
                <w:color w:val="000000"/>
                <w:sz w:val="20"/>
                <w:szCs w:val="20"/>
              </w:rPr>
              <w:t xml:space="preserve">CO</w:t>
            </w:r>
          </w:p>
        </w:tc>
        <w:tc>
          <w:tcPr>
            <w:tcW w:type="dxa" w:w="5000"/>
            <w:shd w:fill="DCE6F1" w:val="clear"/>
            <w:tcMar>
              <w:top w:type="dxa" w:w="100"/>
              <w:left w:type="dxa" w:w="120"/>
              <w:bottom w:type="dxa" w:w="100"/>
              <w:right w:type="dxa" w:w="120"/>
            </w:tcMar>
            <w:vAlign w:val="center"/>
          </w:tcPr>
          <w:p>
            <w:r>
              <w:rPr>
                <w:b w:val="false"/>
                <w:bCs w:val="false"/>
                <w:color w:val="000000"/>
                <w:sz w:val="20"/>
                <w:szCs w:val="20"/>
              </w:rPr>
              <w:t xml:space="preserve">Internal profitability by business unit or product line</w:t>
            </w:r>
          </w:p>
        </w:tc>
      </w:tr>
      <w:tr>
        <w:tc>
          <w:tcPr>
            <w:tcW w:type="dxa" w:w="3200"/>
            <w:tcMar>
              <w:top w:type="dxa" w:w="100"/>
              <w:left w:type="dxa" w:w="120"/>
              <w:bottom w:type="dxa" w:w="100"/>
              <w:right w:type="dxa" w:w="120"/>
            </w:tcMar>
            <w:vAlign w:val="center"/>
          </w:tcPr>
          <w:p>
            <w:r>
              <w:rPr>
                <w:b w:val="false"/>
                <w:bCs w:val="false"/>
                <w:color w:val="000000"/>
                <w:sz w:val="20"/>
                <w:szCs w:val="20"/>
              </w:rPr>
              <w:t xml:space="preserve">Product Costing</w:t>
            </w:r>
          </w:p>
        </w:tc>
        <w:tc>
          <w:tcPr>
            <w:tcW w:type="dxa" w:w="1300"/>
            <w:tcMar>
              <w:top w:type="dxa" w:w="100"/>
              <w:left w:type="dxa" w:w="120"/>
              <w:bottom w:type="dxa" w:w="100"/>
              <w:right w:type="dxa" w:w="120"/>
            </w:tcMar>
            <w:vAlign w:val="center"/>
          </w:tcPr>
          <w:p>
            <w:r>
              <w:rPr>
                <w:b w:val="false"/>
                <w:bCs w:val="false"/>
                <w:color w:val="000000"/>
                <w:sz w:val="20"/>
                <w:szCs w:val="20"/>
              </w:rPr>
              <w:t xml:space="preserve">CO</w:t>
            </w:r>
          </w:p>
        </w:tc>
        <w:tc>
          <w:tcPr>
            <w:tcW w:type="dxa" w:w="5000"/>
            <w:tcMar>
              <w:top w:type="dxa" w:w="100"/>
              <w:left w:type="dxa" w:w="120"/>
              <w:bottom w:type="dxa" w:w="100"/>
              <w:right w:type="dxa" w:w="120"/>
            </w:tcMar>
            <w:vAlign w:val="center"/>
          </w:tcPr>
          <w:p>
            <w:r>
              <w:rPr>
                <w:b w:val="false"/>
                <w:bCs w:val="false"/>
                <w:color w:val="000000"/>
                <w:sz w:val="20"/>
                <w:szCs w:val="20"/>
              </w:rPr>
              <w:t xml:space="preserve">Standard and actual manufacturing cost calculation</w:t>
            </w:r>
          </w:p>
        </w:tc>
      </w:tr>
      <w:tr>
        <w:tc>
          <w:tcPr>
            <w:tcW w:type="dxa" w:w="3200"/>
            <w:shd w:fill="DCE6F1" w:val="clear"/>
            <w:tcMar>
              <w:top w:type="dxa" w:w="100"/>
              <w:left w:type="dxa" w:w="120"/>
              <w:bottom w:type="dxa" w:w="100"/>
              <w:right w:type="dxa" w:w="120"/>
            </w:tcMar>
            <w:vAlign w:val="center"/>
          </w:tcPr>
          <w:p>
            <w:r>
              <w:rPr>
                <w:b w:val="false"/>
                <w:bCs w:val="false"/>
                <w:color w:val="000000"/>
                <w:sz w:val="20"/>
                <w:szCs w:val="20"/>
              </w:rPr>
              <w:t xml:space="preserve">Profitability Analysis (CO-PA)</w:t>
            </w:r>
          </w:p>
        </w:tc>
        <w:tc>
          <w:tcPr>
            <w:tcW w:type="dxa" w:w="1300"/>
            <w:shd w:fill="DCE6F1" w:val="clear"/>
            <w:tcMar>
              <w:top w:type="dxa" w:w="100"/>
              <w:left w:type="dxa" w:w="120"/>
              <w:bottom w:type="dxa" w:w="100"/>
              <w:right w:type="dxa" w:w="120"/>
            </w:tcMar>
            <w:vAlign w:val="center"/>
          </w:tcPr>
          <w:p>
            <w:r>
              <w:rPr>
                <w:b w:val="false"/>
                <w:bCs w:val="false"/>
                <w:color w:val="000000"/>
                <w:sz w:val="20"/>
                <w:szCs w:val="20"/>
              </w:rPr>
              <w:t xml:space="preserve">CO</w:t>
            </w:r>
          </w:p>
        </w:tc>
        <w:tc>
          <w:tcPr>
            <w:tcW w:type="dxa" w:w="5000"/>
            <w:shd w:fill="DCE6F1" w:val="clear"/>
            <w:tcMar>
              <w:top w:type="dxa" w:w="100"/>
              <w:left w:type="dxa" w:w="120"/>
              <w:bottom w:type="dxa" w:w="100"/>
              <w:right w:type="dxa" w:w="120"/>
            </w:tcMar>
            <w:vAlign w:val="center"/>
          </w:tcPr>
          <w:p>
            <w:r>
              <w:rPr>
                <w:b w:val="false"/>
                <w:bCs w:val="false"/>
                <w:color w:val="000000"/>
                <w:sz w:val="20"/>
                <w:szCs w:val="20"/>
              </w:rPr>
              <w:t xml:space="preserve">Profitability by customer, product, region, or channel</w:t>
            </w:r>
          </w:p>
        </w:tc>
      </w:tr>
    </w:tbl>
    <w:p>
      <w:pPr>
        <w:pStyle w:val="Heading1"/>
        <w:pBdr>
          <w:bottom w:val="single" w:color="2E5395" w:sz="6" w:space="4"/>
        </w:pBdr>
        <w:spacing w:after="160" w:before="360"/>
      </w:pPr>
      <w:r>
        <w:rPr>
          <w:b/>
          <w:bCs/>
          <w:color w:val="1F3864"/>
        </w:rPr>
        <w:t xml:space="preserve">6. Representative Use Cases</w:t>
      </w:r>
    </w:p>
    <w:p>
      <w:pPr>
        <w:spacing w:after="160" w:line="276"/>
        <w:jc w:val="both"/>
      </w:pPr>
      <w:r>
        <w:rPr>
          <w:sz w:val="22"/>
          <w:szCs w:val="22"/>
        </w:rPr>
        <w:t xml:space="preserve">In practice, SAP FICO is used across a wide range of recurring finance and controlling scenarios. Some of the most common are:</w:t>
      </w:r>
    </w:p>
    <w:p>
      <w:pPr>
        <w:pStyle w:val="ListParagraph"/>
        <w:numPr>
          <w:ilvl w:val="0"/>
          <w:numId w:val="2"/>
        </w:numPr>
        <w:spacing w:after="80" w:line="276"/>
      </w:pPr>
      <w:r>
        <w:rPr>
          <w:sz w:val="22"/>
          <w:szCs w:val="22"/>
        </w:rPr>
        <w:t xml:space="preserve">Statutory financial statement preparation — generating balance sheet, P&amp;L, and cash-flow reports for a legal entity at month-, quarter-, or year-end, often across multiple currencies and accounting standards (e.g., local GAAP alongside IFRS).</w:t>
      </w:r>
    </w:p>
    <w:p>
      <w:pPr>
        <w:pStyle w:val="ListParagraph"/>
        <w:numPr>
          <w:ilvl w:val="0"/>
          <w:numId w:val="2"/>
        </w:numPr>
        <w:spacing w:after="80" w:line="276"/>
      </w:pPr>
      <w:r>
        <w:rPr>
          <w:sz w:val="22"/>
          <w:szCs w:val="22"/>
        </w:rPr>
        <w:t xml:space="preserve">Procure-to-pay accounting — automatically posting vendor liabilities upon goods receipt or invoice verification, and clearing them through the payment run.</w:t>
      </w:r>
    </w:p>
    <w:p>
      <w:pPr>
        <w:pStyle w:val="ListParagraph"/>
        <w:numPr>
          <w:ilvl w:val="0"/>
          <w:numId w:val="2"/>
        </w:numPr>
        <w:spacing w:after="80" w:line="276"/>
      </w:pPr>
      <w:r>
        <w:rPr>
          <w:sz w:val="22"/>
          <w:szCs w:val="22"/>
        </w:rPr>
        <w:t xml:space="preserve">Order-to-cash accounting — automatically posting customer receivables upon billing, and applying incoming payments and credit control.</w:t>
      </w:r>
    </w:p>
    <w:p>
      <w:pPr>
        <w:pStyle w:val="ListParagraph"/>
        <w:numPr>
          <w:ilvl w:val="0"/>
          <w:numId w:val="2"/>
        </w:numPr>
        <w:spacing w:after="80" w:line="276"/>
      </w:pPr>
      <w:r>
        <w:rPr>
          <w:sz w:val="22"/>
          <w:szCs w:val="22"/>
        </w:rPr>
        <w:t xml:space="preserve">Budgeting and cost-center control — comparing planned versus actual spend by department to support monthly management review.</w:t>
      </w:r>
    </w:p>
    <w:p>
      <w:pPr>
        <w:pStyle w:val="ListParagraph"/>
        <w:numPr>
          <w:ilvl w:val="0"/>
          <w:numId w:val="2"/>
        </w:numPr>
        <w:spacing w:after="80" w:line="276"/>
      </w:pPr>
      <w:r>
        <w:rPr>
          <w:sz w:val="22"/>
          <w:szCs w:val="22"/>
        </w:rPr>
        <w:t xml:space="preserve">Standard costing for manufactured goods — calculating a product's standard cost from its bill of materials and routing, then analysing production variances.</w:t>
      </w:r>
    </w:p>
    <w:p>
      <w:pPr>
        <w:pStyle w:val="ListParagraph"/>
        <w:numPr>
          <w:ilvl w:val="0"/>
          <w:numId w:val="2"/>
        </w:numPr>
        <w:spacing w:after="80" w:line="276"/>
      </w:pPr>
      <w:r>
        <w:rPr>
          <w:sz w:val="22"/>
          <w:szCs w:val="22"/>
        </w:rPr>
        <w:t xml:space="preserve">Segment and customer profitability reporting — using CO-PA to identify which products, regions, or customers are actually generating margin.</w:t>
      </w:r>
    </w:p>
    <w:p>
      <w:pPr>
        <w:pStyle w:val="ListParagraph"/>
        <w:numPr>
          <w:ilvl w:val="0"/>
          <w:numId w:val="2"/>
        </w:numPr>
        <w:spacing w:after="80" w:line="276"/>
      </w:pPr>
      <w:r>
        <w:rPr>
          <w:sz w:val="22"/>
          <w:szCs w:val="22"/>
        </w:rPr>
        <w:t xml:space="preserve">Fixed asset and capital expenditure tracking — monitoring capital projects from acquisition through depreciation to disposal.</w:t>
      </w:r>
    </w:p>
    <w:p>
      <w:pPr>
        <w:pStyle w:val="ListParagraph"/>
        <w:numPr>
          <w:ilvl w:val="0"/>
          <w:numId w:val="2"/>
        </w:numPr>
        <w:spacing w:after="80" w:line="276"/>
      </w:pPr>
      <w:r>
        <w:rPr>
          <w:sz w:val="22"/>
          <w:szCs w:val="22"/>
        </w:rPr>
        <w:t xml:space="preserve">Intercompany reconciliation — ensuring balances between related legal entities net to zero at group consolidation.</w:t>
      </w:r>
    </w:p>
    <w:p>
      <w:pPr>
        <w:pStyle w:val="Heading1"/>
        <w:pBdr>
          <w:bottom w:val="single" w:color="2E5395" w:sz="6" w:space="4"/>
        </w:pBdr>
        <w:spacing w:after="160" w:before="360"/>
      </w:pPr>
      <w:r>
        <w:rPr>
          <w:b/>
          <w:bCs/>
          <w:color w:val="1F3864"/>
        </w:rPr>
        <w:t xml:space="preserve">7. Integration with Other SAP Modules</w:t>
      </w:r>
    </w:p>
    <w:p>
      <w:pPr>
        <w:spacing w:after="160" w:line="276"/>
        <w:jc w:val="both"/>
      </w:pPr>
      <w:r>
        <w:rPr>
          <w:sz w:val="22"/>
          <w:szCs w:val="22"/>
        </w:rPr>
        <w:t xml:space="preserve">SAP FICO is rarely used in isolation. Its defining architectural feature is that it receives real-time, automatic postings from almost every operational module in the SAP landscape. This is what allows finance to close the books quickly and with minimal manual re-entry.</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rPr>
          <w:tblHeader/>
        </w:trPr>
        <w:tc>
          <w:tcPr>
            <w:tcW w:type="dxa" w:w="2600"/>
            <w:shd w:fill="1F3864" w:val="clear"/>
            <w:tcMar>
              <w:top w:type="dxa" w:w="100"/>
              <w:left w:type="dxa" w:w="120"/>
              <w:bottom w:type="dxa" w:w="100"/>
              <w:right w:type="dxa" w:w="120"/>
            </w:tcMar>
            <w:vAlign w:val="center"/>
          </w:tcPr>
          <w:p>
            <w:r>
              <w:rPr>
                <w:b/>
                <w:bCs/>
                <w:color w:val="FFFFFF"/>
                <w:sz w:val="20"/>
                <w:szCs w:val="20"/>
              </w:rPr>
              <w:t xml:space="preserve">SAP Module</w:t>
            </w:r>
          </w:p>
        </w:tc>
        <w:tc>
          <w:tcPr>
            <w:tcW w:type="dxa" w:w="6900"/>
            <w:shd w:fill="1F3864" w:val="clear"/>
            <w:tcMar>
              <w:top w:type="dxa" w:w="100"/>
              <w:left w:type="dxa" w:w="120"/>
              <w:bottom w:type="dxa" w:w="100"/>
              <w:right w:type="dxa" w:w="120"/>
            </w:tcMar>
            <w:vAlign w:val="center"/>
          </w:tcPr>
          <w:p>
            <w:r>
              <w:rPr>
                <w:b/>
                <w:bCs/>
                <w:color w:val="FFFFFF"/>
                <w:sz w:val="20"/>
                <w:szCs w:val="20"/>
              </w:rPr>
              <w:t xml:space="preserve">Integration Point with FICO</w:t>
            </w:r>
          </w:p>
        </w:tc>
      </w:tr>
      <w:tr>
        <w:tc>
          <w:tcPr>
            <w:tcW w:type="dxa" w:w="2600"/>
            <w:tcMar>
              <w:top w:type="dxa" w:w="100"/>
              <w:left w:type="dxa" w:w="120"/>
              <w:bottom w:type="dxa" w:w="100"/>
              <w:right w:type="dxa" w:w="120"/>
            </w:tcMar>
            <w:vAlign w:val="center"/>
          </w:tcPr>
          <w:p>
            <w:r>
              <w:rPr>
                <w:b w:val="false"/>
                <w:bCs w:val="false"/>
                <w:color w:val="000000"/>
                <w:sz w:val="20"/>
                <w:szCs w:val="20"/>
              </w:rPr>
              <w:t xml:space="preserve">MM – Materials Management</w:t>
            </w:r>
          </w:p>
        </w:tc>
        <w:tc>
          <w:tcPr>
            <w:tcW w:type="dxa" w:w="6900"/>
            <w:tcMar>
              <w:top w:type="dxa" w:w="100"/>
              <w:left w:type="dxa" w:w="120"/>
              <w:bottom w:type="dxa" w:w="100"/>
              <w:right w:type="dxa" w:w="120"/>
            </w:tcMar>
            <w:vAlign w:val="center"/>
          </w:tcPr>
          <w:p>
            <w:r>
              <w:rPr>
                <w:b w:val="false"/>
                <w:bCs w:val="false"/>
                <w:color w:val="000000"/>
                <w:sz w:val="20"/>
                <w:szCs w:val="20"/>
              </w:rPr>
              <w:t xml:space="preserve">Goods receipts and invoice verification post automatically to AP and inventory G/L accounts; purchase order commitments flow into cost objects in CO.</w:t>
            </w:r>
          </w:p>
        </w:tc>
      </w:tr>
      <w:tr>
        <w:tc>
          <w:tcPr>
            <w:tcW w:type="dxa" w:w="2600"/>
            <w:shd w:fill="DCE6F1" w:val="clear"/>
            <w:tcMar>
              <w:top w:type="dxa" w:w="100"/>
              <w:left w:type="dxa" w:w="120"/>
              <w:bottom w:type="dxa" w:w="100"/>
              <w:right w:type="dxa" w:w="120"/>
            </w:tcMar>
            <w:vAlign w:val="center"/>
          </w:tcPr>
          <w:p>
            <w:r>
              <w:rPr>
                <w:b w:val="false"/>
                <w:bCs w:val="false"/>
                <w:color w:val="000000"/>
                <w:sz w:val="20"/>
                <w:szCs w:val="20"/>
              </w:rPr>
              <w:t xml:space="preserve">SD – Sales &amp; Distribution</w:t>
            </w:r>
          </w:p>
        </w:tc>
        <w:tc>
          <w:tcPr>
            <w:tcW w:type="dxa" w:w="6900"/>
            <w:shd w:fill="DCE6F1" w:val="clear"/>
            <w:tcMar>
              <w:top w:type="dxa" w:w="100"/>
              <w:left w:type="dxa" w:w="120"/>
              <w:bottom w:type="dxa" w:w="100"/>
              <w:right w:type="dxa" w:w="120"/>
            </w:tcMar>
            <w:vAlign w:val="center"/>
          </w:tcPr>
          <w:p>
            <w:r>
              <w:rPr>
                <w:b w:val="false"/>
                <w:bCs w:val="false"/>
                <w:color w:val="000000"/>
                <w:sz w:val="20"/>
                <w:szCs w:val="20"/>
              </w:rPr>
              <w:t xml:space="preserve">Billing documents post automatically to AR and revenue accounts; sales data feeds CO-PA for profitability analysis.</w:t>
            </w:r>
          </w:p>
        </w:tc>
      </w:tr>
      <w:tr>
        <w:tc>
          <w:tcPr>
            <w:tcW w:type="dxa" w:w="2600"/>
            <w:tcMar>
              <w:top w:type="dxa" w:w="100"/>
              <w:left w:type="dxa" w:w="120"/>
              <w:bottom w:type="dxa" w:w="100"/>
              <w:right w:type="dxa" w:w="120"/>
            </w:tcMar>
            <w:vAlign w:val="center"/>
          </w:tcPr>
          <w:p>
            <w:r>
              <w:rPr>
                <w:b w:val="false"/>
                <w:bCs w:val="false"/>
                <w:color w:val="000000"/>
                <w:sz w:val="20"/>
                <w:szCs w:val="20"/>
              </w:rPr>
              <w:t xml:space="preserve">PP – Production Planning</w:t>
            </w:r>
          </w:p>
        </w:tc>
        <w:tc>
          <w:tcPr>
            <w:tcW w:type="dxa" w:w="6900"/>
            <w:tcMar>
              <w:top w:type="dxa" w:w="100"/>
              <w:left w:type="dxa" w:w="120"/>
              <w:bottom w:type="dxa" w:w="100"/>
              <w:right w:type="dxa" w:w="120"/>
            </w:tcMar>
            <w:vAlign w:val="center"/>
          </w:tcPr>
          <w:p>
            <w:r>
              <w:rPr>
                <w:b w:val="false"/>
                <w:bCs w:val="false"/>
                <w:color w:val="000000"/>
                <w:sz w:val="20"/>
                <w:szCs w:val="20"/>
              </w:rPr>
              <w:t xml:space="preserve">Production orders consume CO-PC for standard costing and post work-in-progress and variances to FI/CO at settlement.</w:t>
            </w:r>
          </w:p>
        </w:tc>
      </w:tr>
      <w:tr>
        <w:tc>
          <w:tcPr>
            <w:tcW w:type="dxa" w:w="2600"/>
            <w:shd w:fill="DCE6F1" w:val="clear"/>
            <w:tcMar>
              <w:top w:type="dxa" w:w="100"/>
              <w:left w:type="dxa" w:w="120"/>
              <w:bottom w:type="dxa" w:w="100"/>
              <w:right w:type="dxa" w:w="120"/>
            </w:tcMar>
            <w:vAlign w:val="center"/>
          </w:tcPr>
          <w:p>
            <w:r>
              <w:rPr>
                <w:b w:val="false"/>
                <w:bCs w:val="false"/>
                <w:color w:val="000000"/>
                <w:sz w:val="20"/>
                <w:szCs w:val="20"/>
              </w:rPr>
              <w:t xml:space="preserve">HCM – Human Capital Mgmt.</w:t>
            </w:r>
          </w:p>
        </w:tc>
        <w:tc>
          <w:tcPr>
            <w:tcW w:type="dxa" w:w="6900"/>
            <w:shd w:fill="DCE6F1" w:val="clear"/>
            <w:tcMar>
              <w:top w:type="dxa" w:w="100"/>
              <w:left w:type="dxa" w:w="120"/>
              <w:bottom w:type="dxa" w:w="100"/>
              <w:right w:type="dxa" w:w="120"/>
            </w:tcMar>
            <w:vAlign w:val="center"/>
          </w:tcPr>
          <w:p>
            <w:r>
              <w:rPr>
                <w:b w:val="false"/>
                <w:bCs w:val="false"/>
                <w:color w:val="000000"/>
                <w:sz w:val="20"/>
                <w:szCs w:val="20"/>
              </w:rPr>
              <w:t xml:space="preserve">Payroll results post salary expense, statutory deductions, and employer costs to FI, and can be assigned to cost centers in CO.</w:t>
            </w:r>
          </w:p>
        </w:tc>
      </w:tr>
      <w:tr>
        <w:tc>
          <w:tcPr>
            <w:tcW w:type="dxa" w:w="2600"/>
            <w:tcMar>
              <w:top w:type="dxa" w:w="100"/>
              <w:left w:type="dxa" w:w="120"/>
              <w:bottom w:type="dxa" w:w="100"/>
              <w:right w:type="dxa" w:w="120"/>
            </w:tcMar>
            <w:vAlign w:val="center"/>
          </w:tcPr>
          <w:p>
            <w:r>
              <w:rPr>
                <w:b w:val="false"/>
                <w:bCs w:val="false"/>
                <w:color w:val="000000"/>
                <w:sz w:val="20"/>
                <w:szCs w:val="20"/>
              </w:rPr>
              <w:t xml:space="preserve">PS – Project System</w:t>
            </w:r>
          </w:p>
        </w:tc>
        <w:tc>
          <w:tcPr>
            <w:tcW w:type="dxa" w:w="6900"/>
            <w:tcMar>
              <w:top w:type="dxa" w:w="100"/>
              <w:left w:type="dxa" w:w="120"/>
              <w:bottom w:type="dxa" w:w="100"/>
              <w:right w:type="dxa" w:w="120"/>
            </w:tcMar>
            <w:vAlign w:val="center"/>
          </w:tcPr>
          <w:p>
            <w:r>
              <w:rPr>
                <w:b w:val="false"/>
                <w:bCs w:val="false"/>
                <w:color w:val="000000"/>
                <w:sz w:val="20"/>
                <w:szCs w:val="20"/>
              </w:rPr>
              <w:t xml:space="preserve">Project budgets, actual costs, and revenues integrate with Internal Orders / CO for project profitability tracking.</w:t>
            </w:r>
          </w:p>
        </w:tc>
      </w:tr>
      <w:tr>
        <w:tc>
          <w:tcPr>
            <w:tcW w:type="dxa" w:w="2600"/>
            <w:shd w:fill="DCE6F1" w:val="clear"/>
            <w:tcMar>
              <w:top w:type="dxa" w:w="100"/>
              <w:left w:type="dxa" w:w="120"/>
              <w:bottom w:type="dxa" w:w="100"/>
              <w:right w:type="dxa" w:w="120"/>
            </w:tcMar>
            <w:vAlign w:val="center"/>
          </w:tcPr>
          <w:p>
            <w:r>
              <w:rPr>
                <w:b w:val="false"/>
                <w:bCs w:val="false"/>
                <w:color w:val="000000"/>
                <w:sz w:val="20"/>
                <w:szCs w:val="20"/>
              </w:rPr>
              <w:t xml:space="preserve">PM – Plant Maintenance</w:t>
            </w:r>
          </w:p>
        </w:tc>
        <w:tc>
          <w:tcPr>
            <w:tcW w:type="dxa" w:w="6900"/>
            <w:shd w:fill="DCE6F1" w:val="clear"/>
            <w:tcMar>
              <w:top w:type="dxa" w:w="100"/>
              <w:left w:type="dxa" w:w="120"/>
              <w:bottom w:type="dxa" w:w="100"/>
              <w:right w:type="dxa" w:w="120"/>
            </w:tcMar>
            <w:vAlign w:val="center"/>
          </w:tcPr>
          <w:p>
            <w:r>
              <w:rPr>
                <w:b w:val="false"/>
                <w:bCs w:val="false"/>
                <w:color w:val="000000"/>
                <w:sz w:val="20"/>
                <w:szCs w:val="20"/>
              </w:rPr>
              <w:t xml:space="preserve">Maintenance orders capture repair and maintenance costs, which settle to cost centers or assets in FI/CO.</w:t>
            </w:r>
          </w:p>
        </w:tc>
      </w:tr>
      <w:tr>
        <w:tc>
          <w:tcPr>
            <w:tcW w:type="dxa" w:w="2600"/>
            <w:tcMar>
              <w:top w:type="dxa" w:w="100"/>
              <w:left w:type="dxa" w:w="120"/>
              <w:bottom w:type="dxa" w:w="100"/>
              <w:right w:type="dxa" w:w="120"/>
            </w:tcMar>
            <w:vAlign w:val="center"/>
          </w:tcPr>
          <w:p>
            <w:r>
              <w:rPr>
                <w:b w:val="false"/>
                <w:bCs w:val="false"/>
                <w:color w:val="000000"/>
                <w:sz w:val="20"/>
                <w:szCs w:val="20"/>
              </w:rPr>
              <w:t xml:space="preserve">SCM / WM – Warehouse Mgmt.</w:t>
            </w:r>
          </w:p>
        </w:tc>
        <w:tc>
          <w:tcPr>
            <w:tcW w:type="dxa" w:w="6900"/>
            <w:tcMar>
              <w:top w:type="dxa" w:w="100"/>
              <w:left w:type="dxa" w:w="120"/>
              <w:bottom w:type="dxa" w:w="100"/>
              <w:right w:type="dxa" w:w="120"/>
            </w:tcMar>
            <w:vAlign w:val="center"/>
          </w:tcPr>
          <w:p>
            <w:r>
              <w:rPr>
                <w:b w:val="false"/>
                <w:bCs w:val="false"/>
                <w:color w:val="000000"/>
                <w:sz w:val="20"/>
                <w:szCs w:val="20"/>
              </w:rPr>
              <w:t xml:space="preserve">Stock movements affect inventory valuation, which posts to FI G/L inventory and COGS accounts.</w:t>
            </w:r>
          </w:p>
        </w:tc>
      </w:tr>
    </w:tbl>
    <w:p>
      <w:pPr>
        <w:spacing w:after="160" w:line="276"/>
        <w:jc w:val="both"/>
      </w:pPr>
      <w:r>
        <w:rPr>
          <w:sz w:val="22"/>
          <w:szCs w:val="22"/>
        </w:rPr>
        <w:t xml:space="preserve">Because every one of these postings ultimately lands in the same GL and cost-object structures, SAP FICO functions as the single point of financial truth for the enterprise — a design principle often summarised as “one entry, many consumers.” This is also why FICO configuration (chart of accounts, company codes, cost center hierarchies) is typically defined first in an SAP implementation, since every other module's finance-relevant settings are built to align with it.</w:t>
      </w:r>
    </w:p>
    <w:p>
      <w:pPr>
        <w:pStyle w:val="Heading1"/>
        <w:pBdr>
          <w:bottom w:val="single" w:color="2E5395" w:sz="6" w:space="4"/>
        </w:pBdr>
        <w:spacing w:after="160" w:before="360"/>
      </w:pPr>
      <w:r>
        <w:rPr>
          <w:b/>
          <w:bCs/>
          <w:color w:val="1F3864"/>
        </w:rPr>
        <w:t xml:space="preserve">8. Benefits of SAP FICO</w:t>
      </w:r>
    </w:p>
    <w:p>
      <w:pPr>
        <w:pStyle w:val="ListParagraph"/>
        <w:numPr>
          <w:ilvl w:val="0"/>
          <w:numId w:val="2"/>
        </w:numPr>
        <w:spacing w:after="80" w:line="276"/>
      </w:pPr>
      <w:r>
        <w:rPr>
          <w:b/>
          <w:bCs/>
          <w:sz w:val="22"/>
          <w:szCs w:val="22"/>
        </w:rPr>
        <w:t xml:space="preserve">Real-time financial visibility: </w:t>
      </w:r>
      <w:r>
        <w:rPr>
          <w:sz w:val="22"/>
          <w:szCs w:val="22"/>
        </w:rPr>
        <w:t xml:space="preserve">because postings from operational modules hit the GL instantly, management has an up-to-date financial picture rather than one reconstructed at month-end.</w:t>
      </w:r>
    </w:p>
    <w:p>
      <w:pPr>
        <w:pStyle w:val="ListParagraph"/>
        <w:numPr>
          <w:ilvl w:val="0"/>
          <w:numId w:val="2"/>
        </w:numPr>
        <w:spacing w:after="80" w:line="276"/>
      </w:pPr>
      <w:r>
        <w:rPr>
          <w:b/>
          <w:bCs/>
          <w:sz w:val="22"/>
          <w:szCs w:val="22"/>
        </w:rPr>
        <w:t xml:space="preserve">Single source of truth: </w:t>
      </w:r>
      <w:r>
        <w:rPr>
          <w:sz w:val="22"/>
          <w:szCs w:val="22"/>
        </w:rPr>
        <w:t xml:space="preserve">tight integration eliminates duplicate data entry and the reconciliation gaps that arise when finance and operations run on separate systems.</w:t>
      </w:r>
    </w:p>
    <w:p>
      <w:pPr>
        <w:pStyle w:val="ListParagraph"/>
        <w:numPr>
          <w:ilvl w:val="0"/>
          <w:numId w:val="2"/>
        </w:numPr>
        <w:spacing w:after="80" w:line="276"/>
      </w:pPr>
      <w:r>
        <w:rPr>
          <w:b/>
          <w:bCs/>
          <w:sz w:val="22"/>
          <w:szCs w:val="22"/>
        </w:rPr>
        <w:t xml:space="preserve">Regulatory and audit compliance: </w:t>
      </w:r>
      <w:r>
        <w:rPr>
          <w:sz w:val="22"/>
          <w:szCs w:val="22"/>
        </w:rPr>
        <w:t xml:space="preserve">built-in support for statutory reporting, document-level audit trails, and multiple parallel ledgers (for local GAAP and IFRS simultaneously) reduces compliance risk.</w:t>
      </w:r>
    </w:p>
    <w:p>
      <w:pPr>
        <w:pStyle w:val="ListParagraph"/>
        <w:numPr>
          <w:ilvl w:val="0"/>
          <w:numId w:val="2"/>
        </w:numPr>
        <w:spacing w:after="80" w:line="276"/>
      </w:pPr>
      <w:r>
        <w:rPr>
          <w:b/>
          <w:bCs/>
          <w:sz w:val="22"/>
          <w:szCs w:val="22"/>
        </w:rPr>
        <w:t xml:space="preserve">Multi-entity, multi-currency scale: </w:t>
      </w:r>
      <w:r>
        <w:rPr>
          <w:sz w:val="22"/>
          <w:szCs w:val="22"/>
        </w:rPr>
        <w:t xml:space="preserve">a single FICO instance can manage many company codes, currencies, and controlling areas, which suits large or multinational organisations.</w:t>
      </w:r>
    </w:p>
    <w:p>
      <w:pPr>
        <w:pStyle w:val="ListParagraph"/>
        <w:numPr>
          <w:ilvl w:val="0"/>
          <w:numId w:val="2"/>
        </w:numPr>
        <w:spacing w:after="80" w:line="276"/>
      </w:pPr>
      <w:r>
        <w:rPr>
          <w:b/>
          <w:bCs/>
          <w:sz w:val="22"/>
          <w:szCs w:val="22"/>
        </w:rPr>
        <w:t xml:space="preserve">Stronger managerial decision-making: </w:t>
      </w:r>
      <w:r>
        <w:rPr>
          <w:sz w:val="22"/>
          <w:szCs w:val="22"/>
        </w:rPr>
        <w:t xml:space="preserve">CO's cost-center, product-costing, and profitability-analysis capabilities give management insight that pure statutory accounting cannot provide on its own.</w:t>
      </w:r>
    </w:p>
    <w:p>
      <w:pPr>
        <w:pStyle w:val="ListParagraph"/>
        <w:numPr>
          <w:ilvl w:val="0"/>
          <w:numId w:val="2"/>
        </w:numPr>
        <w:spacing w:after="80" w:line="276"/>
      </w:pPr>
      <w:r>
        <w:rPr>
          <w:b/>
          <w:bCs/>
          <w:sz w:val="22"/>
          <w:szCs w:val="22"/>
        </w:rPr>
        <w:t xml:space="preserve">Process standardisation: </w:t>
      </w:r>
      <w:r>
        <w:rPr>
          <w:sz w:val="22"/>
          <w:szCs w:val="22"/>
        </w:rPr>
        <w:t xml:space="preserve">a common chart of accounts and posting logic across business units makes consolidation, benchmarking, and internal control materially easier.</w:t>
      </w:r>
    </w:p>
    <w:p>
      <w:pPr>
        <w:pStyle w:val="Heading1"/>
        <w:pBdr>
          <w:bottom w:val="single" w:color="2E5395" w:sz="6" w:space="4"/>
        </w:pBdr>
        <w:spacing w:after="160" w:before="360"/>
      </w:pPr>
      <w:r>
        <w:rPr>
          <w:b/>
          <w:bCs/>
          <w:color w:val="1F3864"/>
        </w:rPr>
        <w:t xml:space="preserve">9. Challenges of Using SAP FICO</w:t>
      </w:r>
    </w:p>
    <w:p>
      <w:pPr>
        <w:pStyle w:val="ListParagraph"/>
        <w:numPr>
          <w:ilvl w:val="0"/>
          <w:numId w:val="2"/>
        </w:numPr>
        <w:spacing w:after="80" w:line="276"/>
      </w:pPr>
      <w:r>
        <w:rPr>
          <w:b/>
          <w:bCs/>
          <w:sz w:val="22"/>
          <w:szCs w:val="22"/>
        </w:rPr>
        <w:t xml:space="preserve">Configuration complexity: </w:t>
      </w:r>
      <w:r>
        <w:rPr>
          <w:sz w:val="22"/>
          <w:szCs w:val="22"/>
        </w:rPr>
        <w:t xml:space="preserve">the breadth of FICO (company codes, chart of accounts, cost-center hierarchies, controlling areas) means initial setup requires deep functional expertise and careful design; mistakes are expensive to unwind later.</w:t>
      </w:r>
    </w:p>
    <w:p>
      <w:pPr>
        <w:pStyle w:val="ListParagraph"/>
        <w:numPr>
          <w:ilvl w:val="0"/>
          <w:numId w:val="2"/>
        </w:numPr>
        <w:spacing w:after="80" w:line="276"/>
      </w:pPr>
      <w:r>
        <w:rPr>
          <w:b/>
          <w:bCs/>
          <w:sz w:val="22"/>
          <w:szCs w:val="22"/>
        </w:rPr>
        <w:t xml:space="preserve">High implementation and licensing cost: </w:t>
      </w:r>
      <w:r>
        <w:rPr>
          <w:sz w:val="22"/>
          <w:szCs w:val="22"/>
        </w:rPr>
        <w:t xml:space="preserve">SAP implementations, especially S/4HANA migrations, require significant investment in licensing, consulting, and internal resourcing, which can be a barrier for smaller organisations.</w:t>
      </w:r>
    </w:p>
    <w:p>
      <w:pPr>
        <w:pStyle w:val="ListParagraph"/>
        <w:numPr>
          <w:ilvl w:val="0"/>
          <w:numId w:val="2"/>
        </w:numPr>
        <w:spacing w:after="80" w:line="276"/>
      </w:pPr>
      <w:r>
        <w:rPr>
          <w:b/>
          <w:bCs/>
          <w:sz w:val="22"/>
          <w:szCs w:val="22"/>
        </w:rPr>
        <w:t xml:space="preserve">Master data quality dependency: </w:t>
      </w:r>
      <w:r>
        <w:rPr>
          <w:sz w:val="22"/>
          <w:szCs w:val="22"/>
        </w:rPr>
        <w:t xml:space="preserve">because so many modules feed FICO automatically, poor-quality master data (vendor, customer, cost-center, material) upstream propagates errors directly into financial reporting.</w:t>
      </w:r>
    </w:p>
    <w:p>
      <w:pPr>
        <w:pStyle w:val="ListParagraph"/>
        <w:numPr>
          <w:ilvl w:val="0"/>
          <w:numId w:val="2"/>
        </w:numPr>
        <w:spacing w:after="80" w:line="276"/>
      </w:pPr>
      <w:r>
        <w:rPr>
          <w:b/>
          <w:bCs/>
          <w:sz w:val="22"/>
          <w:szCs w:val="22"/>
        </w:rPr>
        <w:t xml:space="preserve">Cross-module testing burden: </w:t>
      </w:r>
      <w:r>
        <w:rPr>
          <w:sz w:val="22"/>
          <w:szCs w:val="22"/>
        </w:rPr>
        <w:t xml:space="preserve">because a single transaction can touch MM, SD, PP, and FICO simultaneously, integration testing is significantly more involved than testing a standalone finance system.</w:t>
      </w:r>
    </w:p>
    <w:p>
      <w:pPr>
        <w:pStyle w:val="ListParagraph"/>
        <w:numPr>
          <w:ilvl w:val="0"/>
          <w:numId w:val="2"/>
        </w:numPr>
        <w:spacing w:after="80" w:line="276"/>
      </w:pPr>
      <w:r>
        <w:rPr>
          <w:b/>
          <w:bCs/>
          <w:sz w:val="22"/>
          <w:szCs w:val="22"/>
        </w:rPr>
        <w:t xml:space="preserve">Change management and training: </w:t>
      </w:r>
      <w:r>
        <w:rPr>
          <w:sz w:val="22"/>
          <w:szCs w:val="22"/>
        </w:rPr>
        <w:t xml:space="preserve">end users accustomed to simpler or legacy systems often need substantial training, and resistance to a more rigid, integrated way of working is common.</w:t>
      </w:r>
    </w:p>
    <w:p>
      <w:pPr>
        <w:pStyle w:val="ListParagraph"/>
        <w:numPr>
          <w:ilvl w:val="0"/>
          <w:numId w:val="2"/>
        </w:numPr>
        <w:spacing w:after="80" w:line="276"/>
      </w:pPr>
      <w:r>
        <w:rPr>
          <w:b/>
          <w:bCs/>
          <w:sz w:val="22"/>
          <w:szCs w:val="22"/>
        </w:rPr>
        <w:t xml:space="preserve">Customisation versus standardisation trade-off: </w:t>
      </w:r>
      <w:r>
        <w:rPr>
          <w:sz w:val="22"/>
          <w:szCs w:val="22"/>
        </w:rPr>
        <w:t xml:space="preserve">heavy customisation can meet a specific business requirement but increases the cost and risk of future upgrades, including the eventual move from ECC to S/4HANA.</w:t>
      </w:r>
    </w:p>
    <w:p>
      <w:pPr>
        <w:pStyle w:val="ListParagraph"/>
        <w:numPr>
          <w:ilvl w:val="0"/>
          <w:numId w:val="2"/>
        </w:numPr>
        <w:spacing w:after="80" w:line="276"/>
      </w:pPr>
      <w:r>
        <w:rPr>
          <w:b/>
          <w:bCs/>
          <w:sz w:val="22"/>
          <w:szCs w:val="22"/>
        </w:rPr>
        <w:t xml:space="preserve">Skilled-resource dependency: </w:t>
      </w:r>
      <w:r>
        <w:rPr>
          <w:sz w:val="22"/>
          <w:szCs w:val="22"/>
        </w:rPr>
        <w:t xml:space="preserve">ongoing support requires consultants or internal staff who understand both accounting principles and SAP configuration, a combination that remains in short supply.</w:t>
      </w:r>
    </w:p>
    <w:p>
      <w:pPr>
        <w:pStyle w:val="Heading1"/>
        <w:pBdr>
          <w:bottom w:val="single" w:color="2E5395" w:sz="6" w:space="4"/>
        </w:pBdr>
        <w:spacing w:after="160" w:before="360"/>
      </w:pPr>
      <w:r>
        <w:rPr>
          <w:b/>
          <w:bCs/>
          <w:color w:val="1F3864"/>
        </w:rPr>
        <w:t xml:space="preserve">10. Conclusion</w:t>
      </w:r>
    </w:p>
    <w:p>
      <w:pPr>
        <w:spacing w:after="160" w:line="276"/>
        <w:jc w:val="both"/>
      </w:pPr>
      <w:r>
        <w:rPr>
          <w:sz w:val="22"/>
          <w:szCs w:val="22"/>
        </w:rPr>
        <w:t xml:space="preserve">SAP FICO's enduring position as the finance core of SAP's ERP suite comes from the way FI and CO divide, and then reunite, the two jobs finance has to do: producing legally compliant external statements, and giving management an internal, cost-and-profit view of the business. Its deep, automatic integration with MM, SD, PP, HCM, PS, and other modules is simultaneously its greatest strength — a genuine single source of financial truth — and the main source of its implementation complexity. For an intern building foundational SAP FICO knowledge, the key takeaway from Week 1 is that FICO cannot be studied as a standalone accounting tool; its value, and its challenges, only make full sense in the context of how tightly it is woven into every other operational process in the enterprise.</w:t>
      </w:r>
    </w:p>
    <w:p>
      <w:pPr>
        <w:pStyle w:val="Heading1"/>
        <w:pBdr>
          <w:bottom w:val="single" w:color="2E5395" w:sz="6" w:space="4"/>
        </w:pBdr>
        <w:spacing w:after="160" w:before="360"/>
      </w:pPr>
      <w:r>
        <w:rPr>
          <w:b/>
          <w:bCs/>
          <w:color w:val="1F3864"/>
        </w:rPr>
        <w:t xml:space="preserve">11. References</w:t>
      </w:r>
    </w:p>
    <w:p>
      <w:pPr>
        <w:spacing w:after="160" w:line="276"/>
        <w:jc w:val="both"/>
      </w:pPr>
      <w:r>
        <w:rPr>
          <w:i/>
          <w:iCs/>
          <w:sz w:val="20"/>
          <w:szCs w:val="20"/>
        </w:rPr>
        <w:t xml:space="preserve">SAP SE product documentation (SAP Help Portal) for SAP S/4HANA Finance and SAP ERP Financials (FI) and Controlling (CO); general SAP FICO functional literature and training materials commonly used in SAP consulting practice.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8"/>
        <w:szCs w:val="18"/>
      </w:rPr>
      <w:t xml:space="preserve">Page </w:t>
    </w:r>
    <w:r>
      <w:rPr>
        <w:color w:val="595959"/>
        <w:sz w:val="18"/>
        <w:szCs w:val="18"/>
      </w:rPr>
      <w:fldChar w:fldCharType="begin"/>
      <w:instrText xml:space="preserve">PAGE</w:instrText>
      <w:fldChar w:fldCharType="separate"/>
      <w:fldChar w:fldCharType="end"/>
    </w:r>
    <w:r>
      <w:rPr>
        <w:color w:val="595959"/>
        <w:sz w:val="18"/>
        <w:szCs w:val="18"/>
      </w:rPr>
      <w:t xml:space="preserve"> of </w:t>
    </w:r>
    <w:r>
      <w:rPr>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i/>
        <w:iCs/>
        <w:color w:val="595959"/>
        <w:sz w:val="16"/>
        <w:szCs w:val="16"/>
      </w:rPr>
      <w:t xml:space="preserve">SAP FICO Internship  |  Week 1: Understanding SAP FICO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lvl w:ilvl="1" w15:tentative="1">
      <w:start w:val="1"/>
      <w:numFmt w:val="bullet"/>
      <w:lvlText w:val="–"/>
      <w:lvlJc w:val="left"/>
      <w:pPr>
        <w:ind w:left="1008"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2026-09-10T10:04:54.392Z</dcterms:created>
  <dcterms:modified xsi:type="dcterms:W3CDTF">2026-09-10T10:04:54.392Z</dcterms:modified>
</cp:coreProperties>
</file>

<file path=docProps/custom.xml><?xml version="1.0" encoding="utf-8"?>
<Properties xmlns="http://schemas.openxmlformats.org/officeDocument/2006/custom-properties" xmlns:vt="http://schemas.openxmlformats.org/officeDocument/2006/docPropsVTypes"/>
</file>