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595959"/>
          <w:sz w:val="30"/>
          <w:szCs w:val="30"/>
        </w:rPr>
        <w:t xml:space="preserve">SAP FICO INTERNSHIP PROGRAMME</w:t>
      </w:r>
    </w:p>
    <w:p>
      <w:pPr>
        <w:spacing w:before="400"/>
        <w:jc w:val="center"/>
      </w:pPr>
      <w:r>
        <w:rPr>
          <w:b/>
          <w:bCs/>
          <w:color w:val="1F3864"/>
          <w:sz w:val="44"/>
          <w:szCs w:val="44"/>
        </w:rPr>
        <w:t xml:space="preserve">Week 2 Task</w:t>
      </w:r>
    </w:p>
    <w:p>
      <w:pPr>
        <w:spacing w:after="500" w:before="120"/>
        <w:jc w:val="center"/>
      </w:pPr>
      <w:r>
        <w:rPr>
          <w:b/>
          <w:bCs/>
          <w:color w:val="2E5395"/>
          <w:sz w:val="40"/>
          <w:szCs w:val="40"/>
        </w:rPr>
        <w:t xml:space="preserve">SAP FICO Configuration</w:t>
      </w:r>
    </w:p>
    <w:p>
      <w:pPr>
        <w:pBdr>
          <w:top w:val="single" w:color="2E5395" w:sz="8" w:space="8"/>
        </w:pBdr>
        <w:jc w:val="center"/>
      </w:pPr>
      <w:r>
        <w:t xml:space="preserve"/>
      </w:r>
    </w:p>
    <w:p>
      <w:pPr>
        <w:spacing w:before="700"/>
        <w:jc w:val="center"/>
      </w:pPr>
      <w:r>
        <w:rPr>
          <w:color w:val="595959"/>
          <w:sz w:val="22"/>
          <w:szCs w:val="22"/>
        </w:rPr>
        <w:t xml:space="preserve">A Beginner-Friendly, Step-by-Step Guide to the Core</w:t>
      </w:r>
    </w:p>
    <w:p>
      <w:pPr>
        <w:jc w:val="center"/>
      </w:pPr>
      <w:r>
        <w:rPr>
          <w:color w:val="595959"/>
          <w:sz w:val="22"/>
          <w:szCs w:val="22"/>
        </w:rPr>
        <w:t xml:space="preserve">SAP FI and CO Customizing (IMG) Configuration Path</w:t>
      </w:r>
    </w:p>
    <w:p>
      <w:pPr>
        <w:spacing w:before="1400"/>
        <w:jc w:val="center"/>
      </w:pPr>
      <w:r>
        <w:rPr>
          <w:b/>
          <w:bCs/>
          <w:sz w:val="24"/>
          <w:szCs w:val="24"/>
        </w:rPr>
        <w:t xml:space="preserve">Prepared by: Shreyash Gongale</w:t>
      </w:r>
    </w:p>
    <w:p>
      <w:pPr>
        <w:spacing w:before="120"/>
        <w:jc w:val="center"/>
      </w:pPr>
      <w:r>
        <w:rPr>
          <w:color w:val="595959"/>
          <w:sz w:val="22"/>
          <w:szCs w:val="22"/>
        </w:rPr>
        <w:t xml:space="preserve">Role: SAP FICO Intern</w:t>
      </w:r>
    </w:p>
    <w:p>
      <w:pPr>
        <w:spacing w:before="120"/>
        <w:jc w:val="center"/>
      </w:pPr>
      <w:r>
        <w:rPr>
          <w:color w:val="595959"/>
          <w:sz w:val="22"/>
          <w:szCs w:val="22"/>
        </w:rPr>
        <w:t xml:space="preserve">Date: 10 September 2026</w:t>
      </w:r>
    </w:p>
    <w:p>
      <w:pPr>
        <w:sectPr>
          <w:pgSz w:w="12240" w:h="15840" w:orient="portrait"/>
          <w:pgMar w:top="1440" w:right="1440" w:bottom="1440" w:left="1440" w:header="708" w:footer="708" w:gutter="0"/>
          <w:pgNumType/>
          <w:docGrid w:linePitch="360"/>
        </w:sectPr>
      </w:pPr>
    </w:p>
    <w:p>
      <w:pPr>
        <w:pStyle w:val="Heading1"/>
        <w:spacing w:after="240"/>
      </w:pPr>
      <w:r>
        <w:rPr>
          <w:b/>
          <w:bCs/>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2E5395" w:sz="6" w:space="4"/>
        </w:pBdr>
        <w:spacing w:after="160" w:before="360"/>
      </w:pPr>
      <w:r>
        <w:rPr>
          <w:b/>
          <w:bCs/>
          <w:color w:val="1F3864"/>
        </w:rPr>
        <w:t xml:space="preserve">1. Objective of This Task</w:t>
      </w:r>
    </w:p>
    <w:p>
      <w:pPr>
        <w:spacing w:after="160" w:line="276"/>
        <w:jc w:val="both"/>
      </w:pPr>
      <w:r>
        <w:rPr>
          <w:sz w:val="22"/>
          <w:szCs w:val="22"/>
        </w:rPr>
        <w:t xml:space="preserve">This report forms the deliverable for Week 2 of the SAP FICO internship. Building on the foundational understanding of SAP FICO developed in Week 1, this week's objective is to move from “what SAP FICO does” to “how SAP FICO is actually built.” The guide below documents the configuration (customizing) steps a consultant follows to set up SAP FI and CO from scratch, explained in a sequence and language accessible to a beginner, while remaining precise enough to be technically useful.</w:t>
      </w:r>
    </w:p>
    <w:p>
      <w:pPr>
        <w:pStyle w:val="Heading1"/>
        <w:pBdr>
          <w:bottom w:val="single" w:color="2E5395" w:sz="6" w:space="4"/>
        </w:pBdr>
        <w:spacing w:after="160" w:before="360"/>
      </w:pPr>
      <w:r>
        <w:rPr>
          <w:b/>
          <w:bCs/>
          <w:color w:val="1F3864"/>
        </w:rPr>
        <w:t xml:space="preserve">2. What “Configuration” Means in SAP FICO</w:t>
      </w:r>
    </w:p>
    <w:p>
      <w:pPr>
        <w:spacing w:after="160" w:line="276"/>
        <w:jc w:val="both"/>
      </w:pPr>
      <w:r>
        <w:rPr>
          <w:sz w:val="22"/>
          <w:szCs w:val="22"/>
        </w:rPr>
        <w:t xml:space="preserve">Work in an SAP system happens at three distinct layers, and it is important for a beginner to tell them apart before looking at any configuration screen:</w:t>
      </w:r>
    </w:p>
    <w:p>
      <w:pPr>
        <w:pStyle w:val="ListParagraph"/>
        <w:numPr>
          <w:ilvl w:val="0"/>
          <w:numId w:val="2"/>
        </w:numPr>
        <w:spacing w:after="80" w:line="276"/>
      </w:pPr>
      <w:r>
        <w:rPr>
          <w:b/>
          <w:bCs/>
          <w:sz w:val="22"/>
          <w:szCs w:val="22"/>
        </w:rPr>
        <w:t xml:space="preserve">Configuration (Customizing): </w:t>
      </w:r>
      <w:r>
        <w:rPr>
          <w:sz w:val="22"/>
          <w:szCs w:val="22"/>
        </w:rPr>
        <w:t xml:space="preserve">one-time setup, usually done by a consultant, that defines how the system is structured and how it is allowed to behave — for example, which company codes exist, which chart of accounts they use, and which posting periods are open.</w:t>
      </w:r>
    </w:p>
    <w:p>
      <w:pPr>
        <w:pStyle w:val="ListParagraph"/>
        <w:numPr>
          <w:ilvl w:val="0"/>
          <w:numId w:val="2"/>
        </w:numPr>
        <w:spacing w:after="80" w:line="276"/>
      </w:pPr>
      <w:r>
        <w:rPr>
          <w:b/>
          <w:bCs/>
          <w:sz w:val="22"/>
          <w:szCs w:val="22"/>
        </w:rPr>
        <w:t xml:space="preserve">Master Data: </w:t>
      </w:r>
      <w:r>
        <w:rPr>
          <w:sz w:val="22"/>
          <w:szCs w:val="22"/>
        </w:rPr>
        <w:t xml:space="preserve">semi-permanent records built on top of configuration — GL accounts, vendor and customer masters, asset masters, and cost centers — which a business user or key-user typically maintains.</w:t>
      </w:r>
    </w:p>
    <w:p>
      <w:pPr>
        <w:pStyle w:val="ListParagraph"/>
        <w:numPr>
          <w:ilvl w:val="0"/>
          <w:numId w:val="2"/>
        </w:numPr>
        <w:spacing w:after="80" w:line="276"/>
      </w:pPr>
      <w:r>
        <w:rPr>
          <w:b/>
          <w:bCs/>
          <w:sz w:val="22"/>
          <w:szCs w:val="22"/>
        </w:rPr>
        <w:t xml:space="preserve">Transaction Data: </w:t>
      </w:r>
      <w:r>
        <w:rPr>
          <w:sz w:val="22"/>
          <w:szCs w:val="22"/>
        </w:rPr>
        <w:t xml:space="preserve">the day-to-day postings — invoices, payments, journal entries — that master data and configuration exist to support.</w:t>
      </w:r>
    </w:p>
    <w:p>
      <w:pPr>
        <w:spacing w:after="160" w:line="276"/>
        <w:jc w:val="both"/>
      </w:pPr>
      <w:r>
        <w:rPr>
          <w:sz w:val="22"/>
          <w:szCs w:val="22"/>
        </w:rPr>
        <w:t xml:space="preserve">Almost all SAP FICO configuration is performed through a single entry point: transaction code SPRO, which opens the SAP Reference IMG (Implementation Guide) — a hierarchical folder tree organised by module and sub-module. Every node in the IMG tree has a matching direct transaction code (such as OX02 or OB29) that experienced consultants use once they are comfortable navigating the system. In a real project, configuration is always built first in a Sandbox or Development client, tested in a Quality/Test client, and only then moved into Production through SAP's transport management system — configuration is never made directly in a live production environment.</w:t>
      </w:r>
    </w:p>
    <w:p>
      <w:pPr>
        <w:pStyle w:val="Heading1"/>
        <w:pBdr>
          <w:bottom w:val="single" w:color="2E5395" w:sz="6" w:space="4"/>
        </w:pBdr>
        <w:spacing w:after="160" w:before="360"/>
      </w:pPr>
      <w:r>
        <w:rPr>
          <w:b/>
          <w:bCs/>
          <w:color w:val="1F3864"/>
        </w:rPr>
        <w:t xml:space="preserve">3. Key Concepts to Know Before You Configure</w:t>
      </w:r>
    </w:p>
    <w:p>
      <w:pPr>
        <w:pStyle w:val="ListParagraph"/>
        <w:numPr>
          <w:ilvl w:val="0"/>
          <w:numId w:val="2"/>
        </w:numPr>
        <w:spacing w:after="80" w:line="276"/>
      </w:pPr>
      <w:r>
        <w:rPr>
          <w:b/>
          <w:bCs/>
          <w:sz w:val="22"/>
          <w:szCs w:val="22"/>
        </w:rPr>
        <w:t xml:space="preserve">Client: </w:t>
      </w:r>
      <w:r>
        <w:rPr>
          <w:sz w:val="22"/>
          <w:szCs w:val="22"/>
        </w:rPr>
        <w:t xml:space="preserve">the highest organisational level in SAP; a self-contained environment with its own data and configuration.</w:t>
      </w:r>
    </w:p>
    <w:p>
      <w:pPr>
        <w:pStyle w:val="ListParagraph"/>
        <w:numPr>
          <w:ilvl w:val="0"/>
          <w:numId w:val="2"/>
        </w:numPr>
        <w:spacing w:after="80" w:line="276"/>
      </w:pPr>
      <w:r>
        <w:rPr>
          <w:b/>
          <w:bCs/>
          <w:sz w:val="22"/>
          <w:szCs w:val="22"/>
        </w:rPr>
        <w:t xml:space="preserve">Company Code: </w:t>
      </w:r>
      <w:r>
        <w:rPr>
          <w:sz w:val="22"/>
          <w:szCs w:val="22"/>
        </w:rPr>
        <w:t xml:space="preserve">the smallest organisational unit for which a complete, legally required set of financial statements can be produced.</w:t>
      </w:r>
    </w:p>
    <w:p>
      <w:pPr>
        <w:pStyle w:val="ListParagraph"/>
        <w:numPr>
          <w:ilvl w:val="0"/>
          <w:numId w:val="2"/>
        </w:numPr>
        <w:spacing w:after="80" w:line="276"/>
      </w:pPr>
      <w:r>
        <w:rPr>
          <w:b/>
          <w:bCs/>
          <w:sz w:val="22"/>
          <w:szCs w:val="22"/>
        </w:rPr>
        <w:t xml:space="preserve">Controlling Area: </w:t>
      </w:r>
      <w:r>
        <w:rPr>
          <w:sz w:val="22"/>
          <w:szCs w:val="22"/>
        </w:rPr>
        <w:t xml:space="preserve">the organisational unit within which CO operates; one controlling area can span several company codes to allow cross-company cost and profitability reporting.</w:t>
      </w:r>
    </w:p>
    <w:p>
      <w:pPr>
        <w:pStyle w:val="ListParagraph"/>
        <w:numPr>
          <w:ilvl w:val="0"/>
          <w:numId w:val="2"/>
        </w:numPr>
        <w:spacing w:after="80" w:line="276"/>
      </w:pPr>
      <w:r>
        <w:rPr>
          <w:b/>
          <w:bCs/>
          <w:sz w:val="22"/>
          <w:szCs w:val="22"/>
        </w:rPr>
        <w:t xml:space="preserve">Chart of Accounts: </w:t>
      </w:r>
      <w:r>
        <w:rPr>
          <w:sz w:val="22"/>
          <w:szCs w:val="22"/>
        </w:rPr>
        <w:t xml:space="preserve">the master list of general ledger account numbers and names that one or more company codes are permitted to use.</w:t>
      </w:r>
    </w:p>
    <w:p>
      <w:pPr>
        <w:pStyle w:val="ListParagraph"/>
        <w:numPr>
          <w:ilvl w:val="0"/>
          <w:numId w:val="2"/>
        </w:numPr>
        <w:spacing w:after="80" w:line="276"/>
      </w:pPr>
      <w:r>
        <w:rPr>
          <w:b/>
          <w:bCs/>
          <w:sz w:val="22"/>
          <w:szCs w:val="22"/>
        </w:rPr>
        <w:t xml:space="preserve">Fiscal Year Variant: </w:t>
      </w:r>
      <w:r>
        <w:rPr>
          <w:sz w:val="22"/>
          <w:szCs w:val="22"/>
        </w:rPr>
        <w:t xml:space="preserve">defines how many posting periods a company's financial year is divided into and their start and end dates.</w:t>
      </w:r>
    </w:p>
    <w:p>
      <w:pPr>
        <w:pStyle w:val="ListParagraph"/>
        <w:numPr>
          <w:ilvl w:val="0"/>
          <w:numId w:val="2"/>
        </w:numPr>
        <w:spacing w:after="80" w:line="276"/>
      </w:pPr>
      <w:r>
        <w:rPr>
          <w:b/>
          <w:bCs/>
          <w:sz w:val="22"/>
          <w:szCs w:val="22"/>
        </w:rPr>
        <w:t xml:space="preserve">Posting Period Variant: </w:t>
      </w:r>
      <w:r>
        <w:rPr>
          <w:sz w:val="22"/>
          <w:szCs w:val="22"/>
        </w:rPr>
        <w:t xml:space="preserve">controls which periods are currently open for posting, for which account types, at any given time.</w:t>
      </w:r>
    </w:p>
    <w:p>
      <w:pPr>
        <w:pStyle w:val="Heading1"/>
        <w:pBdr>
          <w:bottom w:val="single" w:color="2E5395" w:sz="6" w:space="4"/>
        </w:pBdr>
        <w:spacing w:after="160" w:before="360"/>
      </w:pPr>
      <w:r>
        <w:rPr>
          <w:b/>
          <w:bCs/>
          <w:color w:val="1F3864"/>
        </w:rPr>
        <w:t xml:space="preserve">4. Step 1 — Enterprise Structure Configuration</w:t>
      </w:r>
    </w:p>
    <w:p>
      <w:pPr>
        <w:spacing w:after="160" w:line="276"/>
        <w:jc w:val="both"/>
      </w:pPr>
      <w:r>
        <w:rPr>
          <w:sz w:val="22"/>
          <w:szCs w:val="22"/>
        </w:rPr>
        <w:t xml:space="preserve">Enterprise structure configuration builds the organisational skeleton that every later setting and every future transaction will hang off. It is always the first thing configured in a new SAP FICO implementation, following the general path SPRO &gt; IMG &gt; Enterprise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800"/>
      </w:tblGrid>
      <w:tr>
        <w:trPr>
          <w:tblHeader/>
        </w:trPr>
        <w:tc>
          <w:tcPr>
            <w:tcW w:type="dxa" w:w="1300"/>
            <w:shd w:fill="1F3864" w:val="clear"/>
            <w:tcMar>
              <w:top w:type="dxa" w:w="100"/>
              <w:left w:type="dxa" w:w="120"/>
              <w:bottom w:type="dxa" w:w="100"/>
              <w:right w:type="dxa" w:w="120"/>
            </w:tcMar>
            <w:vAlign w:val="center"/>
          </w:tcPr>
          <w:p>
            <w:r>
              <w:rPr>
                <w:b/>
                <w:bCs/>
                <w:color w:val="FFFFFF"/>
                <w:sz w:val="20"/>
                <w:szCs w:val="20"/>
              </w:rPr>
              <w:t xml:space="preserve">T-Code</w:t>
            </w:r>
          </w:p>
        </w:tc>
        <w:tc>
          <w:tcPr>
            <w:tcW w:type="dxa" w:w="3000"/>
            <w:shd w:fill="1F3864" w:val="clear"/>
            <w:tcMar>
              <w:top w:type="dxa" w:w="100"/>
              <w:left w:type="dxa" w:w="120"/>
              <w:bottom w:type="dxa" w:w="100"/>
              <w:right w:type="dxa" w:w="120"/>
            </w:tcMar>
            <w:vAlign w:val="center"/>
          </w:tcPr>
          <w:p>
            <w:r>
              <w:rPr>
                <w:b/>
                <w:bCs/>
                <w:color w:val="FFFFFF"/>
                <w:sz w:val="20"/>
                <w:szCs w:val="20"/>
              </w:rPr>
              <w:t xml:space="preserve">Configuration Step</w:t>
            </w:r>
          </w:p>
        </w:tc>
        <w:tc>
          <w:tcPr>
            <w:tcW w:type="dxa" w:w="480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1300"/>
            <w:tcMar>
              <w:top w:type="dxa" w:w="100"/>
              <w:left w:type="dxa" w:w="120"/>
              <w:bottom w:type="dxa" w:w="100"/>
              <w:right w:type="dxa" w:w="120"/>
            </w:tcMar>
            <w:vAlign w:val="center"/>
          </w:tcPr>
          <w:p>
            <w:r>
              <w:rPr>
                <w:b/>
                <w:bCs/>
                <w:color w:val="000000"/>
                <w:sz w:val="20"/>
                <w:szCs w:val="20"/>
              </w:rPr>
              <w:t xml:space="preserve">OX15</w:t>
            </w:r>
          </w:p>
        </w:tc>
        <w:tc>
          <w:tcPr>
            <w:tcW w:type="dxa" w:w="3000"/>
            <w:tcMar>
              <w:top w:type="dxa" w:w="100"/>
              <w:left w:type="dxa" w:w="120"/>
              <w:bottom w:type="dxa" w:w="100"/>
              <w:right w:type="dxa" w:w="120"/>
            </w:tcMar>
            <w:vAlign w:val="center"/>
          </w:tcPr>
          <w:p>
            <w:r>
              <w:rPr>
                <w:b w:val="false"/>
                <w:bCs w:val="false"/>
                <w:color w:val="000000"/>
                <w:sz w:val="20"/>
                <w:szCs w:val="20"/>
              </w:rPr>
              <w:t xml:space="preserve">Define Company</w:t>
            </w:r>
          </w:p>
        </w:tc>
        <w:tc>
          <w:tcPr>
            <w:tcW w:type="dxa" w:w="4800"/>
            <w:tcMar>
              <w:top w:type="dxa" w:w="100"/>
              <w:left w:type="dxa" w:w="120"/>
              <w:bottom w:type="dxa" w:w="100"/>
              <w:right w:type="dxa" w:w="120"/>
            </w:tcMar>
            <w:vAlign w:val="center"/>
          </w:tcPr>
          <w:p>
            <w:r>
              <w:rPr>
                <w:b w:val="false"/>
                <w:bCs w:val="false"/>
                <w:color w:val="000000"/>
                <w:sz w:val="20"/>
                <w:szCs w:val="20"/>
              </w:rPr>
              <w:t xml:space="preserve">Creates the top-level legal group entity used for consolidated group reporting.</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OX02</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Define / Edit Company Code</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Creates the company code — the core organisational unit of SAP FI.</w:t>
            </w:r>
          </w:p>
        </w:tc>
      </w:tr>
      <w:tr>
        <w:tc>
          <w:tcPr>
            <w:tcW w:type="dxa" w:w="1300"/>
            <w:tcMar>
              <w:top w:type="dxa" w:w="100"/>
              <w:left w:type="dxa" w:w="120"/>
              <w:bottom w:type="dxa" w:w="100"/>
              <w:right w:type="dxa" w:w="120"/>
            </w:tcMar>
            <w:vAlign w:val="center"/>
          </w:tcPr>
          <w:p>
            <w:r>
              <w:rPr>
                <w:b/>
                <w:bCs/>
                <w:color w:val="000000"/>
                <w:sz w:val="20"/>
                <w:szCs w:val="20"/>
              </w:rPr>
              <w:t xml:space="preserve">OX16</w:t>
            </w:r>
          </w:p>
        </w:tc>
        <w:tc>
          <w:tcPr>
            <w:tcW w:type="dxa" w:w="3000"/>
            <w:tcMar>
              <w:top w:type="dxa" w:w="100"/>
              <w:left w:type="dxa" w:w="120"/>
              <w:bottom w:type="dxa" w:w="100"/>
              <w:right w:type="dxa" w:w="120"/>
            </w:tcMar>
            <w:vAlign w:val="center"/>
          </w:tcPr>
          <w:p>
            <w:r>
              <w:rPr>
                <w:b w:val="false"/>
                <w:bCs w:val="false"/>
                <w:color w:val="000000"/>
                <w:sz w:val="20"/>
                <w:szCs w:val="20"/>
              </w:rPr>
              <w:t xml:space="preserve">Assign Company Code to Company</w:t>
            </w:r>
          </w:p>
        </w:tc>
        <w:tc>
          <w:tcPr>
            <w:tcW w:type="dxa" w:w="4800"/>
            <w:tcMar>
              <w:top w:type="dxa" w:w="100"/>
              <w:left w:type="dxa" w:w="120"/>
              <w:bottom w:type="dxa" w:w="100"/>
              <w:right w:type="dxa" w:w="120"/>
            </w:tcMar>
            <w:vAlign w:val="center"/>
          </w:tcPr>
          <w:p>
            <w:r>
              <w:rPr>
                <w:b w:val="false"/>
                <w:bCs w:val="false"/>
                <w:color w:val="000000"/>
                <w:sz w:val="20"/>
                <w:szCs w:val="20"/>
              </w:rPr>
              <w:t xml:space="preserve">Links the company code to its parent company for consolidation.</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OX03</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Define Business Area</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Creates optional segments used for cross-company-code internal reporting.</w:t>
            </w:r>
          </w:p>
        </w:tc>
      </w:tr>
      <w:tr>
        <w:tc>
          <w:tcPr>
            <w:tcW w:type="dxa" w:w="1300"/>
            <w:tcMar>
              <w:top w:type="dxa" w:w="100"/>
              <w:left w:type="dxa" w:w="120"/>
              <w:bottom w:type="dxa" w:w="100"/>
              <w:right w:type="dxa" w:w="120"/>
            </w:tcMar>
            <w:vAlign w:val="center"/>
          </w:tcPr>
          <w:p>
            <w:r>
              <w:rPr>
                <w:b/>
                <w:bCs/>
                <w:color w:val="000000"/>
                <w:sz w:val="20"/>
                <w:szCs w:val="20"/>
              </w:rPr>
              <w:t xml:space="preserve">OKKP</w:t>
            </w:r>
          </w:p>
        </w:tc>
        <w:tc>
          <w:tcPr>
            <w:tcW w:type="dxa" w:w="3000"/>
            <w:tcMar>
              <w:top w:type="dxa" w:w="100"/>
              <w:left w:type="dxa" w:w="120"/>
              <w:bottom w:type="dxa" w:w="100"/>
              <w:right w:type="dxa" w:w="120"/>
            </w:tcMar>
            <w:vAlign w:val="center"/>
          </w:tcPr>
          <w:p>
            <w:r>
              <w:rPr>
                <w:b w:val="false"/>
                <w:bCs w:val="false"/>
                <w:color w:val="000000"/>
                <w:sz w:val="20"/>
                <w:szCs w:val="20"/>
              </w:rPr>
              <w:t xml:space="preserve">Maintain Controlling Area</w:t>
            </w:r>
          </w:p>
        </w:tc>
        <w:tc>
          <w:tcPr>
            <w:tcW w:type="dxa" w:w="4800"/>
            <w:tcMar>
              <w:top w:type="dxa" w:w="100"/>
              <w:left w:type="dxa" w:w="120"/>
              <w:bottom w:type="dxa" w:w="100"/>
              <w:right w:type="dxa" w:w="120"/>
            </w:tcMar>
            <w:vAlign w:val="center"/>
          </w:tcPr>
          <w:p>
            <w:r>
              <w:rPr>
                <w:b w:val="false"/>
                <w:bCs w:val="false"/>
                <w:color w:val="000000"/>
                <w:sz w:val="20"/>
                <w:szCs w:val="20"/>
              </w:rPr>
              <w:t xml:space="preserve">Creates the CO organisational unit and activates the CO components it will use.</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OX19</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Assign Company Code to Controlling Area</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Links one or more company codes to the controlling area.</w:t>
            </w:r>
          </w:p>
        </w:tc>
      </w:tr>
    </w:tbl>
    <w:p>
      <w:pPr>
        <w:pStyle w:val="Heading1"/>
        <w:pBdr>
          <w:bottom w:val="single" w:color="2E5395" w:sz="6" w:space="4"/>
        </w:pBdr>
        <w:spacing w:after="160" w:before="360"/>
      </w:pPr>
      <w:r>
        <w:rPr>
          <w:b/>
          <w:bCs/>
          <w:color w:val="1F3864"/>
        </w:rPr>
        <w:t xml:space="preserve">5. Step 2 — Financial Accounting Global Settings</w:t>
      </w:r>
    </w:p>
    <w:p>
      <w:pPr>
        <w:spacing w:after="160" w:line="276"/>
        <w:jc w:val="both"/>
      </w:pPr>
      <w:r>
        <w:rPr>
          <w:sz w:val="22"/>
          <w:szCs w:val="22"/>
        </w:rPr>
        <w:t xml:space="preserve">Global settings govern how every company code records fiscal time, documents, and posting rules. These are configured under SPRO &gt; IMG &gt; Financial Accounting (New) &gt; Financial Accounting Global Settings.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800"/>
      </w:tblGrid>
      <w:tr>
        <w:trPr>
          <w:tblHeader/>
        </w:trPr>
        <w:tc>
          <w:tcPr>
            <w:tcW w:type="dxa" w:w="1300"/>
            <w:shd w:fill="1F3864" w:val="clear"/>
            <w:tcMar>
              <w:top w:type="dxa" w:w="100"/>
              <w:left w:type="dxa" w:w="120"/>
              <w:bottom w:type="dxa" w:w="100"/>
              <w:right w:type="dxa" w:w="120"/>
            </w:tcMar>
            <w:vAlign w:val="center"/>
          </w:tcPr>
          <w:p>
            <w:r>
              <w:rPr>
                <w:b/>
                <w:bCs/>
                <w:color w:val="FFFFFF"/>
                <w:sz w:val="20"/>
                <w:szCs w:val="20"/>
              </w:rPr>
              <w:t xml:space="preserve">T-Code</w:t>
            </w:r>
          </w:p>
        </w:tc>
        <w:tc>
          <w:tcPr>
            <w:tcW w:type="dxa" w:w="3000"/>
            <w:shd w:fill="1F3864" w:val="clear"/>
            <w:tcMar>
              <w:top w:type="dxa" w:w="100"/>
              <w:left w:type="dxa" w:w="120"/>
              <w:bottom w:type="dxa" w:w="100"/>
              <w:right w:type="dxa" w:w="120"/>
            </w:tcMar>
            <w:vAlign w:val="center"/>
          </w:tcPr>
          <w:p>
            <w:r>
              <w:rPr>
                <w:b/>
                <w:bCs/>
                <w:color w:val="FFFFFF"/>
                <w:sz w:val="20"/>
                <w:szCs w:val="20"/>
              </w:rPr>
              <w:t xml:space="preserve">Configuration Step</w:t>
            </w:r>
          </w:p>
        </w:tc>
        <w:tc>
          <w:tcPr>
            <w:tcW w:type="dxa" w:w="480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1300"/>
            <w:tcMar>
              <w:top w:type="dxa" w:w="100"/>
              <w:left w:type="dxa" w:w="120"/>
              <w:bottom w:type="dxa" w:w="100"/>
              <w:right w:type="dxa" w:w="120"/>
            </w:tcMar>
            <w:vAlign w:val="center"/>
          </w:tcPr>
          <w:p>
            <w:r>
              <w:rPr>
                <w:b/>
                <w:bCs/>
                <w:color w:val="000000"/>
                <w:sz w:val="20"/>
                <w:szCs w:val="20"/>
              </w:rPr>
              <w:t xml:space="preserve">OB29</w:t>
            </w:r>
          </w:p>
        </w:tc>
        <w:tc>
          <w:tcPr>
            <w:tcW w:type="dxa" w:w="3000"/>
            <w:tcMar>
              <w:top w:type="dxa" w:w="100"/>
              <w:left w:type="dxa" w:w="120"/>
              <w:bottom w:type="dxa" w:w="100"/>
              <w:right w:type="dxa" w:w="120"/>
            </w:tcMar>
            <w:vAlign w:val="center"/>
          </w:tcPr>
          <w:p>
            <w:r>
              <w:rPr>
                <w:b w:val="false"/>
                <w:bCs w:val="false"/>
                <w:color w:val="000000"/>
                <w:sz w:val="20"/>
                <w:szCs w:val="20"/>
              </w:rPr>
              <w:t xml:space="preserve">Maintain Fiscal Year Variant</w:t>
            </w:r>
          </w:p>
        </w:tc>
        <w:tc>
          <w:tcPr>
            <w:tcW w:type="dxa" w:w="4800"/>
            <w:tcMar>
              <w:top w:type="dxa" w:w="100"/>
              <w:left w:type="dxa" w:w="120"/>
              <w:bottom w:type="dxa" w:w="100"/>
              <w:right w:type="dxa" w:w="120"/>
            </w:tcMar>
            <w:vAlign w:val="center"/>
          </w:tcPr>
          <w:p>
            <w:r>
              <w:rPr>
                <w:b w:val="false"/>
                <w:bCs w:val="false"/>
                <w:color w:val="000000"/>
                <w:sz w:val="20"/>
                <w:szCs w:val="20"/>
              </w:rPr>
              <w:t xml:space="preserve">Defines how many posting periods a fiscal year has and their date ranges.</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OB37</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Assign Company Code to Fiscal Year Variant</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Applies a fiscal year variant to a specific company code.</w:t>
            </w:r>
          </w:p>
        </w:tc>
      </w:tr>
      <w:tr>
        <w:tc>
          <w:tcPr>
            <w:tcW w:type="dxa" w:w="1300"/>
            <w:tcMar>
              <w:top w:type="dxa" w:w="100"/>
              <w:left w:type="dxa" w:w="120"/>
              <w:bottom w:type="dxa" w:w="100"/>
              <w:right w:type="dxa" w:w="120"/>
            </w:tcMar>
            <w:vAlign w:val="center"/>
          </w:tcPr>
          <w:p>
            <w:r>
              <w:rPr>
                <w:b/>
                <w:bCs/>
                <w:color w:val="000000"/>
                <w:sz w:val="20"/>
                <w:szCs w:val="20"/>
              </w:rPr>
              <w:t xml:space="preserve">OBBO</w:t>
            </w:r>
          </w:p>
        </w:tc>
        <w:tc>
          <w:tcPr>
            <w:tcW w:type="dxa" w:w="3000"/>
            <w:tcMar>
              <w:top w:type="dxa" w:w="100"/>
              <w:left w:type="dxa" w:w="120"/>
              <w:bottom w:type="dxa" w:w="100"/>
              <w:right w:type="dxa" w:w="120"/>
            </w:tcMar>
            <w:vAlign w:val="center"/>
          </w:tcPr>
          <w:p>
            <w:r>
              <w:rPr>
                <w:b w:val="false"/>
                <w:bCs w:val="false"/>
                <w:color w:val="000000"/>
                <w:sz w:val="20"/>
                <w:szCs w:val="20"/>
              </w:rPr>
              <w:t xml:space="preserve">Define Posting Period Variant</w:t>
            </w:r>
          </w:p>
        </w:tc>
        <w:tc>
          <w:tcPr>
            <w:tcW w:type="dxa" w:w="4800"/>
            <w:tcMar>
              <w:top w:type="dxa" w:w="100"/>
              <w:left w:type="dxa" w:w="120"/>
              <w:bottom w:type="dxa" w:w="100"/>
              <w:right w:type="dxa" w:w="120"/>
            </w:tcMar>
            <w:vAlign w:val="center"/>
          </w:tcPr>
          <w:p>
            <w:r>
              <w:rPr>
                <w:b w:val="false"/>
                <w:bCs w:val="false"/>
                <w:color w:val="000000"/>
                <w:sz w:val="20"/>
                <w:szCs w:val="20"/>
              </w:rPr>
              <w:t xml:space="preserve">Creates a reusable set of period open/close rules.</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OBBP</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Assign Posting Period Variant to Company Code</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Applies the posting period variant to a company code.</w:t>
            </w:r>
          </w:p>
        </w:tc>
      </w:tr>
      <w:tr>
        <w:tc>
          <w:tcPr>
            <w:tcW w:type="dxa" w:w="1300"/>
            <w:tcMar>
              <w:top w:type="dxa" w:w="100"/>
              <w:left w:type="dxa" w:w="120"/>
              <w:bottom w:type="dxa" w:w="100"/>
              <w:right w:type="dxa" w:w="120"/>
            </w:tcMar>
            <w:vAlign w:val="center"/>
          </w:tcPr>
          <w:p>
            <w:r>
              <w:rPr>
                <w:b/>
                <w:bCs/>
                <w:color w:val="000000"/>
                <w:sz w:val="20"/>
                <w:szCs w:val="20"/>
              </w:rPr>
              <w:t xml:space="preserve">OB52</w:t>
            </w:r>
          </w:p>
        </w:tc>
        <w:tc>
          <w:tcPr>
            <w:tcW w:type="dxa" w:w="3000"/>
            <w:tcMar>
              <w:top w:type="dxa" w:w="100"/>
              <w:left w:type="dxa" w:w="120"/>
              <w:bottom w:type="dxa" w:w="100"/>
              <w:right w:type="dxa" w:w="120"/>
            </w:tcMar>
            <w:vAlign w:val="center"/>
          </w:tcPr>
          <w:p>
            <w:r>
              <w:rPr>
                <w:b w:val="false"/>
                <w:bCs w:val="false"/>
                <w:color w:val="000000"/>
                <w:sz w:val="20"/>
                <w:szCs w:val="20"/>
              </w:rPr>
              <w:t xml:space="preserve">Open and Close Posting Periods</w:t>
            </w:r>
          </w:p>
        </w:tc>
        <w:tc>
          <w:tcPr>
            <w:tcW w:type="dxa" w:w="4800"/>
            <w:tcMar>
              <w:top w:type="dxa" w:w="100"/>
              <w:left w:type="dxa" w:w="120"/>
              <w:bottom w:type="dxa" w:w="100"/>
              <w:right w:type="dxa" w:w="120"/>
            </w:tcMar>
            <w:vAlign w:val="center"/>
          </w:tcPr>
          <w:p>
            <w:r>
              <w:rPr>
                <w:b w:val="false"/>
                <w:bCs w:val="false"/>
                <w:color w:val="000000"/>
                <w:sz w:val="20"/>
                <w:szCs w:val="20"/>
              </w:rPr>
              <w:t xml:space="preserve">Sets which periods are currently open, by account type, for posting.</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OBA7</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Define Document Types</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Creates document type codes (e.g., SA for a GL entry) that classify postings.</w:t>
            </w:r>
          </w:p>
        </w:tc>
      </w:tr>
      <w:tr>
        <w:tc>
          <w:tcPr>
            <w:tcW w:type="dxa" w:w="1300"/>
            <w:tcMar>
              <w:top w:type="dxa" w:w="100"/>
              <w:left w:type="dxa" w:w="120"/>
              <w:bottom w:type="dxa" w:w="100"/>
              <w:right w:type="dxa" w:w="120"/>
            </w:tcMar>
            <w:vAlign w:val="center"/>
          </w:tcPr>
          <w:p>
            <w:r>
              <w:rPr>
                <w:b/>
                <w:bCs/>
                <w:color w:val="000000"/>
                <w:sz w:val="20"/>
                <w:szCs w:val="20"/>
              </w:rPr>
              <w:t xml:space="preserve">FBN1</w:t>
            </w:r>
          </w:p>
        </w:tc>
        <w:tc>
          <w:tcPr>
            <w:tcW w:type="dxa" w:w="3000"/>
            <w:tcMar>
              <w:top w:type="dxa" w:w="100"/>
              <w:left w:type="dxa" w:w="120"/>
              <w:bottom w:type="dxa" w:w="100"/>
              <w:right w:type="dxa" w:w="120"/>
            </w:tcMar>
            <w:vAlign w:val="center"/>
          </w:tcPr>
          <w:p>
            <w:r>
              <w:rPr>
                <w:b w:val="false"/>
                <w:bCs w:val="false"/>
                <w:color w:val="000000"/>
                <w:sz w:val="20"/>
                <w:szCs w:val="20"/>
              </w:rPr>
              <w:t xml:space="preserve">Define Document Number Ranges</w:t>
            </w:r>
          </w:p>
        </w:tc>
        <w:tc>
          <w:tcPr>
            <w:tcW w:type="dxa" w:w="4800"/>
            <w:tcMar>
              <w:top w:type="dxa" w:w="100"/>
              <w:left w:type="dxa" w:w="120"/>
              <w:bottom w:type="dxa" w:w="100"/>
              <w:right w:type="dxa" w:w="120"/>
            </w:tcMar>
            <w:vAlign w:val="center"/>
          </w:tcPr>
          <w:p>
            <w:r>
              <w:rPr>
                <w:b w:val="false"/>
                <w:bCs w:val="false"/>
                <w:color w:val="000000"/>
                <w:sz w:val="20"/>
                <w:szCs w:val="20"/>
              </w:rPr>
              <w:t xml:space="preserve">Assigns the number interval each document type will draw from.</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OBC4</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Define Field Status Variant / Groups</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Controls which fields are required, optional, or suppressed on a posting screen.</w:t>
            </w:r>
          </w:p>
        </w:tc>
      </w:tr>
      <w:tr>
        <w:tc>
          <w:tcPr>
            <w:tcW w:type="dxa" w:w="1300"/>
            <w:tcMar>
              <w:top w:type="dxa" w:w="100"/>
              <w:left w:type="dxa" w:w="120"/>
              <w:bottom w:type="dxa" w:w="100"/>
              <w:right w:type="dxa" w:w="120"/>
            </w:tcMar>
            <w:vAlign w:val="center"/>
          </w:tcPr>
          <w:p>
            <w:r>
              <w:rPr>
                <w:b/>
                <w:bCs/>
                <w:color w:val="000000"/>
                <w:sz w:val="20"/>
                <w:szCs w:val="20"/>
              </w:rPr>
              <w:t xml:space="preserve">OBC5</w:t>
            </w:r>
          </w:p>
        </w:tc>
        <w:tc>
          <w:tcPr>
            <w:tcW w:type="dxa" w:w="3000"/>
            <w:tcMar>
              <w:top w:type="dxa" w:w="100"/>
              <w:left w:type="dxa" w:w="120"/>
              <w:bottom w:type="dxa" w:w="100"/>
              <w:right w:type="dxa" w:w="120"/>
            </w:tcMar>
            <w:vAlign w:val="center"/>
          </w:tcPr>
          <w:p>
            <w:r>
              <w:rPr>
                <w:b w:val="false"/>
                <w:bCs w:val="false"/>
                <w:color w:val="000000"/>
                <w:sz w:val="20"/>
                <w:szCs w:val="20"/>
              </w:rPr>
              <w:t xml:space="preserve">Assign Company Code to Field Status Variant</w:t>
            </w:r>
          </w:p>
        </w:tc>
        <w:tc>
          <w:tcPr>
            <w:tcW w:type="dxa" w:w="4800"/>
            <w:tcMar>
              <w:top w:type="dxa" w:w="100"/>
              <w:left w:type="dxa" w:w="120"/>
              <w:bottom w:type="dxa" w:w="100"/>
              <w:right w:type="dxa" w:w="120"/>
            </w:tcMar>
            <w:vAlign w:val="center"/>
          </w:tcPr>
          <w:p>
            <w:r>
              <w:rPr>
                <w:b w:val="false"/>
                <w:bCs w:val="false"/>
                <w:color w:val="000000"/>
                <w:sz w:val="20"/>
                <w:szCs w:val="20"/>
              </w:rPr>
              <w:t xml:space="preserve">Applies a field status variant to a company code.</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OBA0</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Define Tolerance Groups for G/L Accounts</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Sets the permissible posting variances allowed on GL postings.</w:t>
            </w:r>
          </w:p>
        </w:tc>
      </w:tr>
      <w:tr>
        <w:tc>
          <w:tcPr>
            <w:tcW w:type="dxa" w:w="1300"/>
            <w:tcMar>
              <w:top w:type="dxa" w:w="100"/>
              <w:left w:type="dxa" w:w="120"/>
              <w:bottom w:type="dxa" w:w="100"/>
              <w:right w:type="dxa" w:w="120"/>
            </w:tcMar>
            <w:vAlign w:val="center"/>
          </w:tcPr>
          <w:p>
            <w:r>
              <w:rPr>
                <w:b/>
                <w:bCs/>
                <w:color w:val="000000"/>
                <w:sz w:val="20"/>
                <w:szCs w:val="20"/>
              </w:rPr>
              <w:t xml:space="preserve">OBA4</w:t>
            </w:r>
          </w:p>
        </w:tc>
        <w:tc>
          <w:tcPr>
            <w:tcW w:type="dxa" w:w="3000"/>
            <w:tcMar>
              <w:top w:type="dxa" w:w="100"/>
              <w:left w:type="dxa" w:w="120"/>
              <w:bottom w:type="dxa" w:w="100"/>
              <w:right w:type="dxa" w:w="120"/>
            </w:tcMar>
            <w:vAlign w:val="center"/>
          </w:tcPr>
          <w:p>
            <w:r>
              <w:rPr>
                <w:b w:val="false"/>
                <w:bCs w:val="false"/>
                <w:color w:val="000000"/>
                <w:sz w:val="20"/>
                <w:szCs w:val="20"/>
              </w:rPr>
              <w:t xml:space="preserve">Define Tolerance Groups for Employees</w:t>
            </w:r>
          </w:p>
        </w:tc>
        <w:tc>
          <w:tcPr>
            <w:tcW w:type="dxa" w:w="4800"/>
            <w:tcMar>
              <w:top w:type="dxa" w:w="100"/>
              <w:left w:type="dxa" w:w="120"/>
              <w:bottom w:type="dxa" w:w="100"/>
              <w:right w:type="dxa" w:w="120"/>
            </w:tcMar>
            <w:vAlign w:val="center"/>
          </w:tcPr>
          <w:p>
            <w:r>
              <w:rPr>
                <w:b w:val="false"/>
                <w:bCs w:val="false"/>
                <w:color w:val="000000"/>
                <w:sz w:val="20"/>
                <w:szCs w:val="20"/>
              </w:rPr>
              <w:t xml:space="preserve">Sets posting and payment authorisation limits per user group.</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OBY6</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Enter Global Parameters</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A consolidated screen for reviewing many of a company code's key FI settings at once.</w:t>
            </w:r>
          </w:p>
        </w:tc>
      </w:tr>
    </w:tbl>
    <w:p>
      <w:pPr>
        <w:pStyle w:val="Heading1"/>
        <w:pBdr>
          <w:bottom w:val="single" w:color="2E5395" w:sz="6" w:space="4"/>
        </w:pBdr>
        <w:spacing w:after="160" w:before="360"/>
      </w:pPr>
      <w:r>
        <w:rPr>
          <w:b/>
          <w:bCs/>
          <w:color w:val="1F3864"/>
        </w:rPr>
        <w:t xml:space="preserve">6. Step 3 — Chart of Accounts and General Ledger Configuration</w:t>
      </w:r>
    </w:p>
    <w:p>
      <w:pPr>
        <w:spacing w:after="160" w:line="276"/>
        <w:jc w:val="both"/>
      </w:pPr>
      <w:r>
        <w:rPr>
          <w:sz w:val="22"/>
          <w:szCs w:val="22"/>
        </w:rPr>
        <w:t xml:space="preserve">With the organisational skeleton and global settings in place, the next step builds the General Ledger itself — the ledger every other FICO sub-module ultimately posts into.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800"/>
      </w:tblGrid>
      <w:tr>
        <w:trPr>
          <w:tblHeader/>
        </w:trPr>
        <w:tc>
          <w:tcPr>
            <w:tcW w:type="dxa" w:w="1300"/>
            <w:shd w:fill="1F3864" w:val="clear"/>
            <w:tcMar>
              <w:top w:type="dxa" w:w="100"/>
              <w:left w:type="dxa" w:w="120"/>
              <w:bottom w:type="dxa" w:w="100"/>
              <w:right w:type="dxa" w:w="120"/>
            </w:tcMar>
            <w:vAlign w:val="center"/>
          </w:tcPr>
          <w:p>
            <w:r>
              <w:rPr>
                <w:b/>
                <w:bCs/>
                <w:color w:val="FFFFFF"/>
                <w:sz w:val="20"/>
                <w:szCs w:val="20"/>
              </w:rPr>
              <w:t xml:space="preserve">T-Code</w:t>
            </w:r>
          </w:p>
        </w:tc>
        <w:tc>
          <w:tcPr>
            <w:tcW w:type="dxa" w:w="3000"/>
            <w:shd w:fill="1F3864" w:val="clear"/>
            <w:tcMar>
              <w:top w:type="dxa" w:w="100"/>
              <w:left w:type="dxa" w:w="120"/>
              <w:bottom w:type="dxa" w:w="100"/>
              <w:right w:type="dxa" w:w="120"/>
            </w:tcMar>
            <w:vAlign w:val="center"/>
          </w:tcPr>
          <w:p>
            <w:r>
              <w:rPr>
                <w:b/>
                <w:bCs/>
                <w:color w:val="FFFFFF"/>
                <w:sz w:val="20"/>
                <w:szCs w:val="20"/>
              </w:rPr>
              <w:t xml:space="preserve">Configuration Step</w:t>
            </w:r>
          </w:p>
        </w:tc>
        <w:tc>
          <w:tcPr>
            <w:tcW w:type="dxa" w:w="480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1300"/>
            <w:tcMar>
              <w:top w:type="dxa" w:w="100"/>
              <w:left w:type="dxa" w:w="120"/>
              <w:bottom w:type="dxa" w:w="100"/>
              <w:right w:type="dxa" w:w="120"/>
            </w:tcMar>
            <w:vAlign w:val="center"/>
          </w:tcPr>
          <w:p>
            <w:r>
              <w:rPr>
                <w:b/>
                <w:bCs/>
                <w:color w:val="000000"/>
                <w:sz w:val="20"/>
                <w:szCs w:val="20"/>
              </w:rPr>
              <w:t xml:space="preserve">OB13</w:t>
            </w:r>
          </w:p>
        </w:tc>
        <w:tc>
          <w:tcPr>
            <w:tcW w:type="dxa" w:w="3000"/>
            <w:tcMar>
              <w:top w:type="dxa" w:w="100"/>
              <w:left w:type="dxa" w:w="120"/>
              <w:bottom w:type="dxa" w:w="100"/>
              <w:right w:type="dxa" w:w="120"/>
            </w:tcMar>
            <w:vAlign w:val="center"/>
          </w:tcPr>
          <w:p>
            <w:r>
              <w:rPr>
                <w:b w:val="false"/>
                <w:bCs w:val="false"/>
                <w:color w:val="000000"/>
                <w:sz w:val="20"/>
                <w:szCs w:val="20"/>
              </w:rPr>
              <w:t xml:space="preserve">Define Chart of Accounts</w:t>
            </w:r>
          </w:p>
        </w:tc>
        <w:tc>
          <w:tcPr>
            <w:tcW w:type="dxa" w:w="4800"/>
            <w:tcMar>
              <w:top w:type="dxa" w:w="100"/>
              <w:left w:type="dxa" w:w="120"/>
              <w:bottom w:type="dxa" w:w="100"/>
              <w:right w:type="dxa" w:w="120"/>
            </w:tcMar>
            <w:vAlign w:val="center"/>
          </w:tcPr>
          <w:p>
            <w:r>
              <w:rPr>
                <w:b w:val="false"/>
                <w:bCs w:val="false"/>
                <w:color w:val="000000"/>
                <w:sz w:val="20"/>
                <w:szCs w:val="20"/>
              </w:rPr>
              <w:t xml:space="preserve">Creates the master list of GL account numbers and names available for use.</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OB62</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Assign Company Code to Chart of Accounts</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Links a company code to the chart of accounts it will post against.</w:t>
            </w:r>
          </w:p>
        </w:tc>
      </w:tr>
      <w:tr>
        <w:tc>
          <w:tcPr>
            <w:tcW w:type="dxa" w:w="1300"/>
            <w:tcMar>
              <w:top w:type="dxa" w:w="100"/>
              <w:left w:type="dxa" w:w="120"/>
              <w:bottom w:type="dxa" w:w="100"/>
              <w:right w:type="dxa" w:w="120"/>
            </w:tcMar>
            <w:vAlign w:val="center"/>
          </w:tcPr>
          <w:p>
            <w:r>
              <w:rPr>
                <w:b/>
                <w:bCs/>
                <w:color w:val="000000"/>
                <w:sz w:val="20"/>
                <w:szCs w:val="20"/>
              </w:rPr>
              <w:t xml:space="preserve">OBD4</w:t>
            </w:r>
          </w:p>
        </w:tc>
        <w:tc>
          <w:tcPr>
            <w:tcW w:type="dxa" w:w="3000"/>
            <w:tcMar>
              <w:top w:type="dxa" w:w="100"/>
              <w:left w:type="dxa" w:w="120"/>
              <w:bottom w:type="dxa" w:w="100"/>
              <w:right w:type="dxa" w:w="120"/>
            </w:tcMar>
            <w:vAlign w:val="center"/>
          </w:tcPr>
          <w:p>
            <w:r>
              <w:rPr>
                <w:b w:val="false"/>
                <w:bCs w:val="false"/>
                <w:color w:val="000000"/>
                <w:sz w:val="20"/>
                <w:szCs w:val="20"/>
              </w:rPr>
              <w:t xml:space="preserve">Define G/L Account Groups</w:t>
            </w:r>
          </w:p>
        </w:tc>
        <w:tc>
          <w:tcPr>
            <w:tcW w:type="dxa" w:w="4800"/>
            <w:tcMar>
              <w:top w:type="dxa" w:w="100"/>
              <w:left w:type="dxa" w:w="120"/>
              <w:bottom w:type="dxa" w:w="100"/>
              <w:right w:type="dxa" w:w="120"/>
            </w:tcMar>
            <w:vAlign w:val="center"/>
          </w:tcPr>
          <w:p>
            <w:r>
              <w:rPr>
                <w:b w:val="false"/>
                <w:bCs w:val="false"/>
                <w:color w:val="000000"/>
                <w:sz w:val="20"/>
                <w:szCs w:val="20"/>
              </w:rPr>
              <w:t xml:space="preserve">Groups GL accounts (e.g., assets, liabilities, expenses) and controls their number ranges and field status.</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OB53</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Define Retained Earnings Account</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Sets the account that automatically absorbs the year-end profit-and-loss balance carry-forward.</w:t>
            </w:r>
          </w:p>
        </w:tc>
      </w:tr>
      <w:tr>
        <w:tc>
          <w:tcPr>
            <w:tcW w:type="dxa" w:w="1300"/>
            <w:tcMar>
              <w:top w:type="dxa" w:w="100"/>
              <w:left w:type="dxa" w:w="120"/>
              <w:bottom w:type="dxa" w:w="100"/>
              <w:right w:type="dxa" w:w="120"/>
            </w:tcMar>
            <w:vAlign w:val="center"/>
          </w:tcPr>
          <w:p>
            <w:r>
              <w:rPr>
                <w:b/>
                <w:bCs/>
                <w:color w:val="000000"/>
                <w:sz w:val="20"/>
                <w:szCs w:val="20"/>
              </w:rPr>
              <w:t xml:space="preserve">OB58</w:t>
            </w:r>
          </w:p>
        </w:tc>
        <w:tc>
          <w:tcPr>
            <w:tcW w:type="dxa" w:w="3000"/>
            <w:tcMar>
              <w:top w:type="dxa" w:w="100"/>
              <w:left w:type="dxa" w:w="120"/>
              <w:bottom w:type="dxa" w:w="100"/>
              <w:right w:type="dxa" w:w="120"/>
            </w:tcMar>
            <w:vAlign w:val="center"/>
          </w:tcPr>
          <w:p>
            <w:r>
              <w:rPr>
                <w:b w:val="false"/>
                <w:bCs w:val="false"/>
                <w:color w:val="000000"/>
                <w:sz w:val="20"/>
                <w:szCs w:val="20"/>
              </w:rPr>
              <w:t xml:space="preserve">Maintain Financial Statement Version</w:t>
            </w:r>
          </w:p>
        </w:tc>
        <w:tc>
          <w:tcPr>
            <w:tcW w:type="dxa" w:w="4800"/>
            <w:tcMar>
              <w:top w:type="dxa" w:w="100"/>
              <w:left w:type="dxa" w:w="120"/>
              <w:bottom w:type="dxa" w:w="100"/>
              <w:right w:type="dxa" w:w="120"/>
            </w:tcMar>
            <w:vAlign w:val="center"/>
          </w:tcPr>
          <w:p>
            <w:r>
              <w:rPr>
                <w:b w:val="false"/>
                <w:bCs w:val="false"/>
                <w:color w:val="000000"/>
                <w:sz w:val="20"/>
                <w:szCs w:val="20"/>
              </w:rPr>
              <w:t xml:space="preserve">Defines the reporting hierarchy used to present the balance sheet and P&amp;L.</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FS00</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Create / Edit G/L Master Record</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Creates the individual GL accounts (cash, revenue, expense, etc.) users will post transactions to.</w:t>
            </w:r>
          </w:p>
        </w:tc>
      </w:tr>
    </w:tbl>
    <w:p>
      <w:pPr>
        <w:pStyle w:val="Heading1"/>
        <w:pBdr>
          <w:bottom w:val="single" w:color="2E5395" w:sz="6" w:space="4"/>
        </w:pBdr>
        <w:spacing w:after="160" w:before="360"/>
      </w:pPr>
      <w:r>
        <w:rPr>
          <w:b/>
          <w:bCs/>
          <w:color w:val="1F3864"/>
        </w:rPr>
        <w:t xml:space="preserve">7. Step 4 — Accounts Payable Configuration</w:t>
      </w:r>
    </w:p>
    <w:p>
      <w:pPr>
        <w:spacing w:after="160" w:line="276"/>
        <w:jc w:val="both"/>
      </w:pPr>
      <w:r>
        <w:rPr>
          <w:sz w:val="22"/>
          <w:szCs w:val="22"/>
        </w:rPr>
        <w:t xml:space="preserve">Accounts Payable configuration sets up how the system manages vendors, invoices, and outgoing payments, integrating closely with Procurement (MM).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800"/>
      </w:tblGrid>
      <w:tr>
        <w:trPr>
          <w:tblHeader/>
        </w:trPr>
        <w:tc>
          <w:tcPr>
            <w:tcW w:type="dxa" w:w="1300"/>
            <w:shd w:fill="1F3864" w:val="clear"/>
            <w:tcMar>
              <w:top w:type="dxa" w:w="100"/>
              <w:left w:type="dxa" w:w="120"/>
              <w:bottom w:type="dxa" w:w="100"/>
              <w:right w:type="dxa" w:w="120"/>
            </w:tcMar>
            <w:vAlign w:val="center"/>
          </w:tcPr>
          <w:p>
            <w:r>
              <w:rPr>
                <w:b/>
                <w:bCs/>
                <w:color w:val="FFFFFF"/>
                <w:sz w:val="20"/>
                <w:szCs w:val="20"/>
              </w:rPr>
              <w:t xml:space="preserve">T-Code</w:t>
            </w:r>
          </w:p>
        </w:tc>
        <w:tc>
          <w:tcPr>
            <w:tcW w:type="dxa" w:w="3000"/>
            <w:shd w:fill="1F3864" w:val="clear"/>
            <w:tcMar>
              <w:top w:type="dxa" w:w="100"/>
              <w:left w:type="dxa" w:w="120"/>
              <w:bottom w:type="dxa" w:w="100"/>
              <w:right w:type="dxa" w:w="120"/>
            </w:tcMar>
            <w:vAlign w:val="center"/>
          </w:tcPr>
          <w:p>
            <w:r>
              <w:rPr>
                <w:b/>
                <w:bCs/>
                <w:color w:val="FFFFFF"/>
                <w:sz w:val="20"/>
                <w:szCs w:val="20"/>
              </w:rPr>
              <w:t xml:space="preserve">Configuration Step</w:t>
            </w:r>
          </w:p>
        </w:tc>
        <w:tc>
          <w:tcPr>
            <w:tcW w:type="dxa" w:w="480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1300"/>
            <w:tcMar>
              <w:top w:type="dxa" w:w="100"/>
              <w:left w:type="dxa" w:w="120"/>
              <w:bottom w:type="dxa" w:w="100"/>
              <w:right w:type="dxa" w:w="120"/>
            </w:tcMar>
            <w:vAlign w:val="center"/>
          </w:tcPr>
          <w:p>
            <w:r>
              <w:rPr>
                <w:b/>
                <w:bCs/>
                <w:color w:val="000000"/>
                <w:sz w:val="20"/>
                <w:szCs w:val="20"/>
              </w:rPr>
              <w:t xml:space="preserve">OBD3</w:t>
            </w:r>
          </w:p>
        </w:tc>
        <w:tc>
          <w:tcPr>
            <w:tcW w:type="dxa" w:w="3000"/>
            <w:tcMar>
              <w:top w:type="dxa" w:w="100"/>
              <w:left w:type="dxa" w:w="120"/>
              <w:bottom w:type="dxa" w:w="100"/>
              <w:right w:type="dxa" w:w="120"/>
            </w:tcMar>
            <w:vAlign w:val="center"/>
          </w:tcPr>
          <w:p>
            <w:r>
              <w:rPr>
                <w:b w:val="false"/>
                <w:bCs w:val="false"/>
                <w:color w:val="000000"/>
                <w:sz w:val="20"/>
                <w:szCs w:val="20"/>
              </w:rPr>
              <w:t xml:space="preserve">Define Vendor Account Groups</w:t>
            </w:r>
          </w:p>
        </w:tc>
        <w:tc>
          <w:tcPr>
            <w:tcW w:type="dxa" w:w="4800"/>
            <w:tcMar>
              <w:top w:type="dxa" w:w="100"/>
              <w:left w:type="dxa" w:w="120"/>
              <w:bottom w:type="dxa" w:w="100"/>
              <w:right w:type="dxa" w:w="120"/>
            </w:tcMar>
            <w:vAlign w:val="center"/>
          </w:tcPr>
          <w:p>
            <w:r>
              <w:rPr>
                <w:b w:val="false"/>
                <w:bCs w:val="false"/>
                <w:color w:val="000000"/>
                <w:sz w:val="20"/>
                <w:szCs w:val="20"/>
              </w:rPr>
              <w:t xml:space="preserve">Groups vendors (e.g., domestic, international, one-time) and controls their numbering and screen fields.</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XK01</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Create Vendor Master Record</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Creates a vendor as a business partner for procurement, invoicing, and payment.</w:t>
            </w:r>
          </w:p>
        </w:tc>
      </w:tr>
      <w:tr>
        <w:tc>
          <w:tcPr>
            <w:tcW w:type="dxa" w:w="1300"/>
            <w:tcMar>
              <w:top w:type="dxa" w:w="100"/>
              <w:left w:type="dxa" w:w="120"/>
              <w:bottom w:type="dxa" w:w="100"/>
              <w:right w:type="dxa" w:w="120"/>
            </w:tcMar>
            <w:vAlign w:val="center"/>
          </w:tcPr>
          <w:p>
            <w:r>
              <w:rPr>
                <w:b/>
                <w:bCs/>
                <w:color w:val="000000"/>
                <w:sz w:val="20"/>
                <w:szCs w:val="20"/>
              </w:rPr>
              <w:t xml:space="preserve">OBB8</w:t>
            </w:r>
          </w:p>
        </w:tc>
        <w:tc>
          <w:tcPr>
            <w:tcW w:type="dxa" w:w="3000"/>
            <w:tcMar>
              <w:top w:type="dxa" w:w="100"/>
              <w:left w:type="dxa" w:w="120"/>
              <w:bottom w:type="dxa" w:w="100"/>
              <w:right w:type="dxa" w:w="120"/>
            </w:tcMar>
            <w:vAlign w:val="center"/>
          </w:tcPr>
          <w:p>
            <w:r>
              <w:rPr>
                <w:b w:val="false"/>
                <w:bCs w:val="false"/>
                <w:color w:val="000000"/>
                <w:sz w:val="20"/>
                <w:szCs w:val="20"/>
              </w:rPr>
              <w:t xml:space="preserve">Maintain Terms of Payment</w:t>
            </w:r>
          </w:p>
        </w:tc>
        <w:tc>
          <w:tcPr>
            <w:tcW w:type="dxa" w:w="4800"/>
            <w:tcMar>
              <w:top w:type="dxa" w:w="100"/>
              <w:left w:type="dxa" w:w="120"/>
              <w:bottom w:type="dxa" w:w="100"/>
              <w:right w:type="dxa" w:w="120"/>
            </w:tcMar>
            <w:vAlign w:val="center"/>
          </w:tcPr>
          <w:p>
            <w:r>
              <w:rPr>
                <w:b w:val="false"/>
                <w:bCs w:val="false"/>
                <w:color w:val="000000"/>
                <w:sz w:val="20"/>
                <w:szCs w:val="20"/>
              </w:rPr>
              <w:t xml:space="preserve">Defines payment due dates and cash-discount terms offered to or by vendors.</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FBZP</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Configure Automatic Payment Program (APP)</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Sets up paying company codes, bank determination, and payment methods used for vendor payment runs.</w:t>
            </w:r>
          </w:p>
        </w:tc>
      </w:tr>
      <w:tr>
        <w:tc>
          <w:tcPr>
            <w:tcW w:type="dxa" w:w="1300"/>
            <w:tcMar>
              <w:top w:type="dxa" w:w="100"/>
              <w:left w:type="dxa" w:w="120"/>
              <w:bottom w:type="dxa" w:w="100"/>
              <w:right w:type="dxa" w:w="120"/>
            </w:tcMar>
            <w:vAlign w:val="center"/>
          </w:tcPr>
          <w:p>
            <w:r>
              <w:rPr>
                <w:b/>
                <w:bCs/>
                <w:color w:val="000000"/>
                <w:sz w:val="20"/>
                <w:szCs w:val="20"/>
              </w:rPr>
              <w:t xml:space="preserve">F110</w:t>
            </w:r>
          </w:p>
        </w:tc>
        <w:tc>
          <w:tcPr>
            <w:tcW w:type="dxa" w:w="3000"/>
            <w:tcMar>
              <w:top w:type="dxa" w:w="100"/>
              <w:left w:type="dxa" w:w="120"/>
              <w:bottom w:type="dxa" w:w="100"/>
              <w:right w:type="dxa" w:w="120"/>
            </w:tcMar>
            <w:vAlign w:val="center"/>
          </w:tcPr>
          <w:p>
            <w:r>
              <w:rPr>
                <w:b w:val="false"/>
                <w:bCs w:val="false"/>
                <w:color w:val="000000"/>
                <w:sz w:val="20"/>
                <w:szCs w:val="20"/>
              </w:rPr>
              <w:t xml:space="preserve">Execute Payment Run</w:t>
            </w:r>
          </w:p>
        </w:tc>
        <w:tc>
          <w:tcPr>
            <w:tcW w:type="dxa" w:w="4800"/>
            <w:tcMar>
              <w:top w:type="dxa" w:w="100"/>
              <w:left w:type="dxa" w:w="120"/>
              <w:bottom w:type="dxa" w:w="100"/>
              <w:right w:type="dxa" w:w="120"/>
            </w:tcMar>
            <w:vAlign w:val="center"/>
          </w:tcPr>
          <w:p>
            <w:r>
              <w:rPr>
                <w:b w:val="false"/>
                <w:bCs w:val="false"/>
                <w:color w:val="000000"/>
                <w:sz w:val="20"/>
                <w:szCs w:val="20"/>
              </w:rPr>
              <w:t xml:space="preserve">The operational transaction where the configured APP settings process actual vendor payments (shown here for context, not configuration itself).</w:t>
            </w:r>
          </w:p>
        </w:tc>
      </w:tr>
    </w:tbl>
    <w:p>
      <w:pPr>
        <w:pStyle w:val="Heading1"/>
        <w:pBdr>
          <w:bottom w:val="single" w:color="2E5395" w:sz="6" w:space="4"/>
        </w:pBdr>
        <w:spacing w:after="160" w:before="360"/>
      </w:pPr>
      <w:r>
        <w:rPr>
          <w:b/>
          <w:bCs/>
          <w:color w:val="1F3864"/>
        </w:rPr>
        <w:t xml:space="preserve">8. Step 5 — Accounts Receivable Configuration</w:t>
      </w:r>
    </w:p>
    <w:p>
      <w:pPr>
        <w:spacing w:after="160" w:line="276"/>
        <w:jc w:val="both"/>
      </w:pPr>
      <w:r>
        <w:rPr>
          <w:sz w:val="22"/>
          <w:szCs w:val="22"/>
        </w:rPr>
        <w:t xml:space="preserve">Accounts Receivable configuration mirrors Accounts Payable on the customer side, integrating closely with Sales and Distribution (SD).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800"/>
      </w:tblGrid>
      <w:tr>
        <w:trPr>
          <w:tblHeader/>
        </w:trPr>
        <w:tc>
          <w:tcPr>
            <w:tcW w:type="dxa" w:w="1300"/>
            <w:shd w:fill="1F3864" w:val="clear"/>
            <w:tcMar>
              <w:top w:type="dxa" w:w="100"/>
              <w:left w:type="dxa" w:w="120"/>
              <w:bottom w:type="dxa" w:w="100"/>
              <w:right w:type="dxa" w:w="120"/>
            </w:tcMar>
            <w:vAlign w:val="center"/>
          </w:tcPr>
          <w:p>
            <w:r>
              <w:rPr>
                <w:b/>
                <w:bCs/>
                <w:color w:val="FFFFFF"/>
                <w:sz w:val="20"/>
                <w:szCs w:val="20"/>
              </w:rPr>
              <w:t xml:space="preserve">T-Code</w:t>
            </w:r>
          </w:p>
        </w:tc>
        <w:tc>
          <w:tcPr>
            <w:tcW w:type="dxa" w:w="3000"/>
            <w:shd w:fill="1F3864" w:val="clear"/>
            <w:tcMar>
              <w:top w:type="dxa" w:w="100"/>
              <w:left w:type="dxa" w:w="120"/>
              <w:bottom w:type="dxa" w:w="100"/>
              <w:right w:type="dxa" w:w="120"/>
            </w:tcMar>
            <w:vAlign w:val="center"/>
          </w:tcPr>
          <w:p>
            <w:r>
              <w:rPr>
                <w:b/>
                <w:bCs/>
                <w:color w:val="FFFFFF"/>
                <w:sz w:val="20"/>
                <w:szCs w:val="20"/>
              </w:rPr>
              <w:t xml:space="preserve">Configuration Step</w:t>
            </w:r>
          </w:p>
        </w:tc>
        <w:tc>
          <w:tcPr>
            <w:tcW w:type="dxa" w:w="480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1300"/>
            <w:tcMar>
              <w:top w:type="dxa" w:w="100"/>
              <w:left w:type="dxa" w:w="120"/>
              <w:bottom w:type="dxa" w:w="100"/>
              <w:right w:type="dxa" w:w="120"/>
            </w:tcMar>
            <w:vAlign w:val="center"/>
          </w:tcPr>
          <w:p>
            <w:r>
              <w:rPr>
                <w:b/>
                <w:bCs/>
                <w:color w:val="000000"/>
                <w:sz w:val="20"/>
                <w:szCs w:val="20"/>
              </w:rPr>
              <w:t xml:space="preserve">OBD2</w:t>
            </w:r>
          </w:p>
        </w:tc>
        <w:tc>
          <w:tcPr>
            <w:tcW w:type="dxa" w:w="3000"/>
            <w:tcMar>
              <w:top w:type="dxa" w:w="100"/>
              <w:left w:type="dxa" w:w="120"/>
              <w:bottom w:type="dxa" w:w="100"/>
              <w:right w:type="dxa" w:w="120"/>
            </w:tcMar>
            <w:vAlign w:val="center"/>
          </w:tcPr>
          <w:p>
            <w:r>
              <w:rPr>
                <w:b w:val="false"/>
                <w:bCs w:val="false"/>
                <w:color w:val="000000"/>
                <w:sz w:val="20"/>
                <w:szCs w:val="20"/>
              </w:rPr>
              <w:t xml:space="preserve">Define Customer Account Groups</w:t>
            </w:r>
          </w:p>
        </w:tc>
        <w:tc>
          <w:tcPr>
            <w:tcW w:type="dxa" w:w="4800"/>
            <w:tcMar>
              <w:top w:type="dxa" w:w="100"/>
              <w:left w:type="dxa" w:w="120"/>
              <w:bottom w:type="dxa" w:w="100"/>
              <w:right w:type="dxa" w:w="120"/>
            </w:tcMar>
            <w:vAlign w:val="center"/>
          </w:tcPr>
          <w:p>
            <w:r>
              <w:rPr>
                <w:b w:val="false"/>
                <w:bCs w:val="false"/>
                <w:color w:val="000000"/>
                <w:sz w:val="20"/>
                <w:szCs w:val="20"/>
              </w:rPr>
              <w:t xml:space="preserve">Groups customers and controls their numbering and screen fields.</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XD01</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Create Customer Master Record</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Creates a customer as a business partner for sales, billing, and collections.</w:t>
            </w:r>
          </w:p>
        </w:tc>
      </w:tr>
      <w:tr>
        <w:tc>
          <w:tcPr>
            <w:tcW w:type="dxa" w:w="1300"/>
            <w:tcMar>
              <w:top w:type="dxa" w:w="100"/>
              <w:left w:type="dxa" w:w="120"/>
              <w:bottom w:type="dxa" w:w="100"/>
              <w:right w:type="dxa" w:w="120"/>
            </w:tcMar>
            <w:vAlign w:val="center"/>
          </w:tcPr>
          <w:p>
            <w:r>
              <w:rPr>
                <w:b/>
                <w:bCs/>
                <w:color w:val="000000"/>
                <w:sz w:val="20"/>
                <w:szCs w:val="20"/>
              </w:rPr>
              <w:t xml:space="preserve">FBMP</w:t>
            </w:r>
          </w:p>
        </w:tc>
        <w:tc>
          <w:tcPr>
            <w:tcW w:type="dxa" w:w="3000"/>
            <w:tcMar>
              <w:top w:type="dxa" w:w="100"/>
              <w:left w:type="dxa" w:w="120"/>
              <w:bottom w:type="dxa" w:w="100"/>
              <w:right w:type="dxa" w:w="120"/>
            </w:tcMar>
            <w:vAlign w:val="center"/>
          </w:tcPr>
          <w:p>
            <w:r>
              <w:rPr>
                <w:b w:val="false"/>
                <w:bCs w:val="false"/>
                <w:color w:val="000000"/>
                <w:sz w:val="20"/>
                <w:szCs w:val="20"/>
              </w:rPr>
              <w:t xml:space="preserve">Maintain Dunning Procedure</w:t>
            </w:r>
          </w:p>
        </w:tc>
        <w:tc>
          <w:tcPr>
            <w:tcW w:type="dxa" w:w="4800"/>
            <w:tcMar>
              <w:top w:type="dxa" w:w="100"/>
              <w:left w:type="dxa" w:w="120"/>
              <w:bottom w:type="dxa" w:w="100"/>
              <w:right w:type="dxa" w:w="120"/>
            </w:tcMar>
            <w:vAlign w:val="center"/>
          </w:tcPr>
          <w:p>
            <w:r>
              <w:rPr>
                <w:b w:val="false"/>
                <w:bCs w:val="false"/>
                <w:color w:val="000000"/>
                <w:sz w:val="20"/>
                <w:szCs w:val="20"/>
              </w:rPr>
              <w:t xml:space="preserve">Defines the reminder levels and texts used to follow up on overdue customer balances.</w:t>
            </w:r>
          </w:p>
        </w:tc>
      </w:tr>
    </w:tbl>
    <w:p>
      <w:pPr>
        <w:pStyle w:val="Heading1"/>
        <w:pBdr>
          <w:bottom w:val="single" w:color="2E5395" w:sz="6" w:space="4"/>
        </w:pBdr>
        <w:spacing w:after="160" w:before="360"/>
      </w:pPr>
      <w:r>
        <w:rPr>
          <w:b/>
          <w:bCs/>
          <w:color w:val="1F3864"/>
        </w:rPr>
        <w:t xml:space="preserve">9. Step 6 — Asset Accounting Configuration</w:t>
      </w:r>
    </w:p>
    <w:p>
      <w:pPr>
        <w:spacing w:after="160" w:line="276"/>
        <w:jc w:val="both"/>
      </w:pPr>
      <w:r>
        <w:rPr>
          <w:sz w:val="22"/>
          <w:szCs w:val="22"/>
        </w:rPr>
        <w:t xml:space="preserve">Asset Accounting configuration sets up how the system tracks the lifecycle and depreciation of fixed assets.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800"/>
      </w:tblGrid>
      <w:tr>
        <w:trPr>
          <w:tblHeader/>
        </w:trPr>
        <w:tc>
          <w:tcPr>
            <w:tcW w:type="dxa" w:w="1300"/>
            <w:shd w:fill="1F3864" w:val="clear"/>
            <w:tcMar>
              <w:top w:type="dxa" w:w="100"/>
              <w:left w:type="dxa" w:w="120"/>
              <w:bottom w:type="dxa" w:w="100"/>
              <w:right w:type="dxa" w:w="120"/>
            </w:tcMar>
            <w:vAlign w:val="center"/>
          </w:tcPr>
          <w:p>
            <w:r>
              <w:rPr>
                <w:b/>
                <w:bCs/>
                <w:color w:val="FFFFFF"/>
                <w:sz w:val="20"/>
                <w:szCs w:val="20"/>
              </w:rPr>
              <w:t xml:space="preserve">T-Code</w:t>
            </w:r>
          </w:p>
        </w:tc>
        <w:tc>
          <w:tcPr>
            <w:tcW w:type="dxa" w:w="3000"/>
            <w:shd w:fill="1F3864" w:val="clear"/>
            <w:tcMar>
              <w:top w:type="dxa" w:w="100"/>
              <w:left w:type="dxa" w:w="120"/>
              <w:bottom w:type="dxa" w:w="100"/>
              <w:right w:type="dxa" w:w="120"/>
            </w:tcMar>
            <w:vAlign w:val="center"/>
          </w:tcPr>
          <w:p>
            <w:r>
              <w:rPr>
                <w:b/>
                <w:bCs/>
                <w:color w:val="FFFFFF"/>
                <w:sz w:val="20"/>
                <w:szCs w:val="20"/>
              </w:rPr>
              <w:t xml:space="preserve">Configuration Step</w:t>
            </w:r>
          </w:p>
        </w:tc>
        <w:tc>
          <w:tcPr>
            <w:tcW w:type="dxa" w:w="480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1300"/>
            <w:tcMar>
              <w:top w:type="dxa" w:w="100"/>
              <w:left w:type="dxa" w:w="120"/>
              <w:bottom w:type="dxa" w:w="100"/>
              <w:right w:type="dxa" w:w="120"/>
            </w:tcMar>
            <w:vAlign w:val="center"/>
          </w:tcPr>
          <w:p>
            <w:r>
              <w:rPr>
                <w:b/>
                <w:bCs/>
                <w:color w:val="000000"/>
                <w:sz w:val="20"/>
                <w:szCs w:val="20"/>
              </w:rPr>
              <w:t xml:space="preserve">EC08</w:t>
            </w:r>
          </w:p>
        </w:tc>
        <w:tc>
          <w:tcPr>
            <w:tcW w:type="dxa" w:w="3000"/>
            <w:tcMar>
              <w:top w:type="dxa" w:w="100"/>
              <w:left w:type="dxa" w:w="120"/>
              <w:bottom w:type="dxa" w:w="100"/>
              <w:right w:type="dxa" w:w="120"/>
            </w:tcMar>
            <w:vAlign w:val="center"/>
          </w:tcPr>
          <w:p>
            <w:r>
              <w:rPr>
                <w:b w:val="false"/>
                <w:bCs w:val="false"/>
                <w:color w:val="000000"/>
                <w:sz w:val="20"/>
                <w:szCs w:val="20"/>
              </w:rPr>
              <w:t xml:space="preserve">Copy Reference Chart of Depreciation</w:t>
            </w:r>
          </w:p>
        </w:tc>
        <w:tc>
          <w:tcPr>
            <w:tcW w:type="dxa" w:w="4800"/>
            <w:tcMar>
              <w:top w:type="dxa" w:w="100"/>
              <w:left w:type="dxa" w:w="120"/>
              <w:bottom w:type="dxa" w:w="100"/>
              <w:right w:type="dxa" w:w="120"/>
            </w:tcMar>
            <w:vAlign w:val="center"/>
          </w:tcPr>
          <w:p>
            <w:r>
              <w:rPr>
                <w:b w:val="false"/>
                <w:bCs w:val="false"/>
                <w:color w:val="000000"/>
                <w:sz w:val="20"/>
                <w:szCs w:val="20"/>
              </w:rPr>
              <w:t xml:space="preserve">Creates a country-specific chart of depreciation by copying SAP's standard reference version.</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OAOB</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Assign Chart of Depreciation to Company Code</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Links a company code to the chart of depreciation it will use; only one chart of depreciation per company code is allowed.</w:t>
            </w:r>
          </w:p>
        </w:tc>
      </w:tr>
      <w:tr>
        <w:tc>
          <w:tcPr>
            <w:tcW w:type="dxa" w:w="1300"/>
            <w:tcMar>
              <w:top w:type="dxa" w:w="100"/>
              <w:left w:type="dxa" w:w="120"/>
              <w:bottom w:type="dxa" w:w="100"/>
              <w:right w:type="dxa" w:w="120"/>
            </w:tcMar>
            <w:vAlign w:val="center"/>
          </w:tcPr>
          <w:p>
            <w:r>
              <w:rPr>
                <w:b/>
                <w:bCs/>
                <w:color w:val="000000"/>
                <w:sz w:val="20"/>
                <w:szCs w:val="20"/>
              </w:rPr>
              <w:t xml:space="preserve">OAOA</w:t>
            </w:r>
          </w:p>
        </w:tc>
        <w:tc>
          <w:tcPr>
            <w:tcW w:type="dxa" w:w="3000"/>
            <w:tcMar>
              <w:top w:type="dxa" w:w="100"/>
              <w:left w:type="dxa" w:w="120"/>
              <w:bottom w:type="dxa" w:w="100"/>
              <w:right w:type="dxa" w:w="120"/>
            </w:tcMar>
            <w:vAlign w:val="center"/>
          </w:tcPr>
          <w:p>
            <w:r>
              <w:rPr>
                <w:b w:val="false"/>
                <w:bCs w:val="false"/>
                <w:color w:val="000000"/>
                <w:sz w:val="20"/>
                <w:szCs w:val="20"/>
              </w:rPr>
              <w:t xml:space="preserve">Define Asset Classes</w:t>
            </w:r>
          </w:p>
        </w:tc>
        <w:tc>
          <w:tcPr>
            <w:tcW w:type="dxa" w:w="4800"/>
            <w:tcMar>
              <w:top w:type="dxa" w:w="100"/>
              <w:left w:type="dxa" w:w="120"/>
              <w:bottom w:type="dxa" w:w="100"/>
              <w:right w:type="dxa" w:w="120"/>
            </w:tcMar>
            <w:vAlign w:val="center"/>
          </w:tcPr>
          <w:p>
            <w:r>
              <w:rPr>
                <w:b w:val="false"/>
                <w:bCs w:val="false"/>
                <w:color w:val="000000"/>
                <w:sz w:val="20"/>
                <w:szCs w:val="20"/>
              </w:rPr>
              <w:t xml:space="preserve">Creates structuring categories (e.g., machinery, vehicles, furniture) that individual assets are assigned to.</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AS01</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Create Asset Master Record</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Creates an individual fixed-asset record under its assigned asset class.</w:t>
            </w:r>
          </w:p>
        </w:tc>
      </w:tr>
    </w:tbl>
    <w:p>
      <w:pPr>
        <w:pStyle w:val="Heading1"/>
        <w:pBdr>
          <w:bottom w:val="single" w:color="2E5395" w:sz="6" w:space="4"/>
        </w:pBdr>
        <w:spacing w:after="160" w:before="360"/>
      </w:pPr>
      <w:r>
        <w:rPr>
          <w:b/>
          <w:bCs/>
          <w:color w:val="1F3864"/>
        </w:rPr>
        <w:t xml:space="preserve">10. Step 7 — Controlling (CO) Configuration</w:t>
      </w:r>
    </w:p>
    <w:p>
      <w:pPr>
        <w:spacing w:after="160" w:line="276"/>
        <w:jc w:val="both"/>
      </w:pPr>
      <w:r>
        <w:rPr>
          <w:sz w:val="22"/>
          <w:szCs w:val="22"/>
        </w:rPr>
        <w:t xml:space="preserve">Controlling configuration builds the cost-tracking and profitability structures that sit alongside FI, following the general path SPRO &gt; IMG &gt; Controlling.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800"/>
      </w:tblGrid>
      <w:tr>
        <w:trPr>
          <w:tblHeader/>
        </w:trPr>
        <w:tc>
          <w:tcPr>
            <w:tcW w:type="dxa" w:w="1300"/>
            <w:shd w:fill="1F3864" w:val="clear"/>
            <w:tcMar>
              <w:top w:type="dxa" w:w="100"/>
              <w:left w:type="dxa" w:w="120"/>
              <w:bottom w:type="dxa" w:w="100"/>
              <w:right w:type="dxa" w:w="120"/>
            </w:tcMar>
            <w:vAlign w:val="center"/>
          </w:tcPr>
          <w:p>
            <w:r>
              <w:rPr>
                <w:b/>
                <w:bCs/>
                <w:color w:val="FFFFFF"/>
                <w:sz w:val="20"/>
                <w:szCs w:val="20"/>
              </w:rPr>
              <w:t xml:space="preserve">T-Code</w:t>
            </w:r>
          </w:p>
        </w:tc>
        <w:tc>
          <w:tcPr>
            <w:tcW w:type="dxa" w:w="3000"/>
            <w:shd w:fill="1F3864" w:val="clear"/>
            <w:tcMar>
              <w:top w:type="dxa" w:w="100"/>
              <w:left w:type="dxa" w:w="120"/>
              <w:bottom w:type="dxa" w:w="100"/>
              <w:right w:type="dxa" w:w="120"/>
            </w:tcMar>
            <w:vAlign w:val="center"/>
          </w:tcPr>
          <w:p>
            <w:r>
              <w:rPr>
                <w:b/>
                <w:bCs/>
                <w:color w:val="FFFFFF"/>
                <w:sz w:val="20"/>
                <w:szCs w:val="20"/>
              </w:rPr>
              <w:t xml:space="preserve">Configuration Step</w:t>
            </w:r>
          </w:p>
        </w:tc>
        <w:tc>
          <w:tcPr>
            <w:tcW w:type="dxa" w:w="480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1300"/>
            <w:tcMar>
              <w:top w:type="dxa" w:w="100"/>
              <w:left w:type="dxa" w:w="120"/>
              <w:bottom w:type="dxa" w:w="100"/>
              <w:right w:type="dxa" w:w="120"/>
            </w:tcMar>
            <w:vAlign w:val="center"/>
          </w:tcPr>
          <w:p>
            <w:r>
              <w:rPr>
                <w:b/>
                <w:bCs/>
                <w:color w:val="000000"/>
                <w:sz w:val="20"/>
                <w:szCs w:val="20"/>
              </w:rPr>
              <w:t xml:space="preserve">OKKP</w:t>
            </w:r>
          </w:p>
        </w:tc>
        <w:tc>
          <w:tcPr>
            <w:tcW w:type="dxa" w:w="3000"/>
            <w:tcMar>
              <w:top w:type="dxa" w:w="100"/>
              <w:left w:type="dxa" w:w="120"/>
              <w:bottom w:type="dxa" w:w="100"/>
              <w:right w:type="dxa" w:w="120"/>
            </w:tcMar>
            <w:vAlign w:val="center"/>
          </w:tcPr>
          <w:p>
            <w:r>
              <w:rPr>
                <w:b w:val="false"/>
                <w:bCs w:val="false"/>
                <w:color w:val="000000"/>
                <w:sz w:val="20"/>
                <w:szCs w:val="20"/>
              </w:rPr>
              <w:t xml:space="preserve">Activate CO Components</w:t>
            </w:r>
          </w:p>
        </w:tc>
        <w:tc>
          <w:tcPr>
            <w:tcW w:type="dxa" w:w="4800"/>
            <w:tcMar>
              <w:top w:type="dxa" w:w="100"/>
              <w:left w:type="dxa" w:w="120"/>
              <w:bottom w:type="dxa" w:w="100"/>
              <w:right w:type="dxa" w:w="120"/>
            </w:tcMar>
            <w:vAlign w:val="center"/>
          </w:tcPr>
          <w:p>
            <w:r>
              <w:rPr>
                <w:b w:val="false"/>
                <w:bCs w:val="false"/>
                <w:color w:val="000000"/>
                <w:sz w:val="20"/>
                <w:szCs w:val="20"/>
              </w:rPr>
              <w:t xml:space="preserve">Within Maintain Controlling Area, activates components such as Cost Center Accounting and Profit Center Accounting for the controlling area.</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KA01</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Create Primary Cost Element</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Marks a GL expense or revenue account as a cost element so CO can track it.</w:t>
            </w:r>
          </w:p>
        </w:tc>
      </w:tr>
      <w:tr>
        <w:tc>
          <w:tcPr>
            <w:tcW w:type="dxa" w:w="1300"/>
            <w:tcMar>
              <w:top w:type="dxa" w:w="100"/>
              <w:left w:type="dxa" w:w="120"/>
              <w:bottom w:type="dxa" w:w="100"/>
              <w:right w:type="dxa" w:w="120"/>
            </w:tcMar>
            <w:vAlign w:val="center"/>
          </w:tcPr>
          <w:p>
            <w:r>
              <w:rPr>
                <w:b/>
                <w:bCs/>
                <w:color w:val="000000"/>
                <w:sz w:val="20"/>
                <w:szCs w:val="20"/>
              </w:rPr>
              <w:t xml:space="preserve">KS01</w:t>
            </w:r>
          </w:p>
        </w:tc>
        <w:tc>
          <w:tcPr>
            <w:tcW w:type="dxa" w:w="3000"/>
            <w:tcMar>
              <w:top w:type="dxa" w:w="100"/>
              <w:left w:type="dxa" w:w="120"/>
              <w:bottom w:type="dxa" w:w="100"/>
              <w:right w:type="dxa" w:w="120"/>
            </w:tcMar>
            <w:vAlign w:val="center"/>
          </w:tcPr>
          <w:p>
            <w:r>
              <w:rPr>
                <w:b w:val="false"/>
                <w:bCs w:val="false"/>
                <w:color w:val="000000"/>
                <w:sz w:val="20"/>
                <w:szCs w:val="20"/>
              </w:rPr>
              <w:t xml:space="preserve">Create Cost Center</w:t>
            </w:r>
          </w:p>
        </w:tc>
        <w:tc>
          <w:tcPr>
            <w:tcW w:type="dxa" w:w="4800"/>
            <w:tcMar>
              <w:top w:type="dxa" w:w="100"/>
              <w:left w:type="dxa" w:w="120"/>
              <w:bottom w:type="dxa" w:w="100"/>
              <w:right w:type="dxa" w:w="120"/>
            </w:tcMar>
            <w:vAlign w:val="center"/>
          </w:tcPr>
          <w:p>
            <w:r>
              <w:rPr>
                <w:b w:val="false"/>
                <w:bCs w:val="false"/>
                <w:color w:val="000000"/>
                <w:sz w:val="20"/>
                <w:szCs w:val="20"/>
              </w:rPr>
              <w:t xml:space="preserve">Creates the responsibility unit (e.g., a department) that costs will be assigned to.</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KSH1</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Create Cost Center Group</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Groups related cost centers into a reporting hierarchy.</w:t>
            </w:r>
          </w:p>
        </w:tc>
      </w:tr>
      <w:tr>
        <w:tc>
          <w:tcPr>
            <w:tcW w:type="dxa" w:w="1300"/>
            <w:tcMar>
              <w:top w:type="dxa" w:w="100"/>
              <w:left w:type="dxa" w:w="120"/>
              <w:bottom w:type="dxa" w:w="100"/>
              <w:right w:type="dxa" w:w="120"/>
            </w:tcMar>
            <w:vAlign w:val="center"/>
          </w:tcPr>
          <w:p>
            <w:r>
              <w:rPr>
                <w:b/>
                <w:bCs/>
                <w:color w:val="000000"/>
                <w:sz w:val="20"/>
                <w:szCs w:val="20"/>
              </w:rPr>
              <w:t xml:space="preserve">KAH1</w:t>
            </w:r>
          </w:p>
        </w:tc>
        <w:tc>
          <w:tcPr>
            <w:tcW w:type="dxa" w:w="3000"/>
            <w:tcMar>
              <w:top w:type="dxa" w:w="100"/>
              <w:left w:type="dxa" w:w="120"/>
              <w:bottom w:type="dxa" w:w="100"/>
              <w:right w:type="dxa" w:w="120"/>
            </w:tcMar>
            <w:vAlign w:val="center"/>
          </w:tcPr>
          <w:p>
            <w:r>
              <w:rPr>
                <w:b w:val="false"/>
                <w:bCs w:val="false"/>
                <w:color w:val="000000"/>
                <w:sz w:val="20"/>
                <w:szCs w:val="20"/>
              </w:rPr>
              <w:t xml:space="preserve">Create Cost Element Group</w:t>
            </w:r>
          </w:p>
        </w:tc>
        <w:tc>
          <w:tcPr>
            <w:tcW w:type="dxa" w:w="4800"/>
            <w:tcMar>
              <w:top w:type="dxa" w:w="100"/>
              <w:left w:type="dxa" w:w="120"/>
              <w:bottom w:type="dxa" w:w="100"/>
              <w:right w:type="dxa" w:w="120"/>
            </w:tcMar>
            <w:vAlign w:val="center"/>
          </w:tcPr>
          <w:p>
            <w:r>
              <w:rPr>
                <w:b w:val="false"/>
                <w:bCs w:val="false"/>
                <w:color w:val="000000"/>
                <w:sz w:val="20"/>
                <w:szCs w:val="20"/>
              </w:rPr>
              <w:t xml:space="preserve">Groups related cost elements for reporting and allocation purposes.</w:t>
            </w:r>
          </w:p>
        </w:tc>
      </w:tr>
    </w:tbl>
    <w:p>
      <w:pPr>
        <w:pStyle w:val="Heading1"/>
        <w:pBdr>
          <w:bottom w:val="single" w:color="2E5395" w:sz="6" w:space="4"/>
        </w:pBdr>
        <w:spacing w:after="160" w:before="360"/>
      </w:pPr>
      <w:r>
        <w:rPr>
          <w:b/>
          <w:bCs/>
          <w:color w:val="1F3864"/>
        </w:rPr>
        <w:t xml:space="preserve">11. Step 8 — Integration Configuration</w:t>
      </w:r>
    </w:p>
    <w:p>
      <w:pPr>
        <w:spacing w:after="160" w:line="276"/>
        <w:jc w:val="both"/>
      </w:pPr>
      <w:r>
        <w:rPr>
          <w:sz w:val="22"/>
          <w:szCs w:val="22"/>
        </w:rPr>
        <w:t xml:space="preserve">The final configuration layer connects FICO automatically to the operational modules, so that transactions created in Procurement or Sales post to finance without manual re-entry — the integration behaviour discussed conceptually in the Week 1 report.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800"/>
      </w:tblGrid>
      <w:tr>
        <w:trPr>
          <w:tblHeader/>
        </w:trPr>
        <w:tc>
          <w:tcPr>
            <w:tcW w:type="dxa" w:w="1300"/>
            <w:shd w:fill="1F3864" w:val="clear"/>
            <w:tcMar>
              <w:top w:type="dxa" w:w="100"/>
              <w:left w:type="dxa" w:w="120"/>
              <w:bottom w:type="dxa" w:w="100"/>
              <w:right w:type="dxa" w:w="120"/>
            </w:tcMar>
            <w:vAlign w:val="center"/>
          </w:tcPr>
          <w:p>
            <w:r>
              <w:rPr>
                <w:b/>
                <w:bCs/>
                <w:color w:val="FFFFFF"/>
                <w:sz w:val="20"/>
                <w:szCs w:val="20"/>
              </w:rPr>
              <w:t xml:space="preserve">T-Code</w:t>
            </w:r>
          </w:p>
        </w:tc>
        <w:tc>
          <w:tcPr>
            <w:tcW w:type="dxa" w:w="3000"/>
            <w:shd w:fill="1F3864" w:val="clear"/>
            <w:tcMar>
              <w:top w:type="dxa" w:w="100"/>
              <w:left w:type="dxa" w:w="120"/>
              <w:bottom w:type="dxa" w:w="100"/>
              <w:right w:type="dxa" w:w="120"/>
            </w:tcMar>
            <w:vAlign w:val="center"/>
          </w:tcPr>
          <w:p>
            <w:r>
              <w:rPr>
                <w:b/>
                <w:bCs/>
                <w:color w:val="FFFFFF"/>
                <w:sz w:val="20"/>
                <w:szCs w:val="20"/>
              </w:rPr>
              <w:t xml:space="preserve">Configuration Step</w:t>
            </w:r>
          </w:p>
        </w:tc>
        <w:tc>
          <w:tcPr>
            <w:tcW w:type="dxa" w:w="480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1300"/>
            <w:tcMar>
              <w:top w:type="dxa" w:w="100"/>
              <w:left w:type="dxa" w:w="120"/>
              <w:bottom w:type="dxa" w:w="100"/>
              <w:right w:type="dxa" w:w="120"/>
            </w:tcMar>
            <w:vAlign w:val="center"/>
          </w:tcPr>
          <w:p>
            <w:r>
              <w:rPr>
                <w:b/>
                <w:bCs/>
                <w:color w:val="000000"/>
                <w:sz w:val="20"/>
                <w:szCs w:val="20"/>
              </w:rPr>
              <w:t xml:space="preserve">OBYC</w:t>
            </w:r>
          </w:p>
        </w:tc>
        <w:tc>
          <w:tcPr>
            <w:tcW w:type="dxa" w:w="3000"/>
            <w:tcMar>
              <w:top w:type="dxa" w:w="100"/>
              <w:left w:type="dxa" w:w="120"/>
              <w:bottom w:type="dxa" w:w="100"/>
              <w:right w:type="dxa" w:w="120"/>
            </w:tcMar>
            <w:vAlign w:val="center"/>
          </w:tcPr>
          <w:p>
            <w:r>
              <w:rPr>
                <w:b w:val="false"/>
                <w:bCs w:val="false"/>
                <w:color w:val="000000"/>
                <w:sz w:val="20"/>
                <w:szCs w:val="20"/>
              </w:rPr>
              <w:t xml:space="preserve">Automatic Account Determination (MM)</w:t>
            </w:r>
          </w:p>
        </w:tc>
        <w:tc>
          <w:tcPr>
            <w:tcW w:type="dxa" w:w="4800"/>
            <w:tcMar>
              <w:top w:type="dxa" w:w="100"/>
              <w:left w:type="dxa" w:w="120"/>
              <w:bottom w:type="dxa" w:w="100"/>
              <w:right w:type="dxa" w:w="120"/>
            </w:tcMar>
            <w:vAlign w:val="center"/>
          </w:tcPr>
          <w:p>
            <w:r>
              <w:rPr>
                <w:b w:val="false"/>
                <w:bCs w:val="false"/>
                <w:color w:val="000000"/>
                <w:sz w:val="20"/>
                <w:szCs w:val="20"/>
              </w:rPr>
              <w:t xml:space="preserve">Maps standard Materials Management postings (goods receipt, invoice verification) to the correct GL accounts.</w:t>
            </w:r>
          </w:p>
        </w:tc>
      </w:tr>
      <w:tr>
        <w:tc>
          <w:tcPr>
            <w:tcW w:type="dxa" w:w="1300"/>
            <w:shd w:fill="DCE6F1" w:val="clear"/>
            <w:tcMar>
              <w:top w:type="dxa" w:w="100"/>
              <w:left w:type="dxa" w:w="120"/>
              <w:bottom w:type="dxa" w:w="100"/>
              <w:right w:type="dxa" w:w="120"/>
            </w:tcMar>
            <w:vAlign w:val="center"/>
          </w:tcPr>
          <w:p>
            <w:r>
              <w:rPr>
                <w:b/>
                <w:bCs/>
                <w:color w:val="000000"/>
                <w:sz w:val="20"/>
                <w:szCs w:val="20"/>
              </w:rPr>
              <w:t xml:space="preserve">VKOA</w:t>
            </w:r>
          </w:p>
        </w:tc>
        <w:tc>
          <w:tcPr>
            <w:tcW w:type="dxa" w:w="3000"/>
            <w:shd w:fill="DCE6F1" w:val="clear"/>
            <w:tcMar>
              <w:top w:type="dxa" w:w="100"/>
              <w:left w:type="dxa" w:w="120"/>
              <w:bottom w:type="dxa" w:w="100"/>
              <w:right w:type="dxa" w:w="120"/>
            </w:tcMar>
            <w:vAlign w:val="center"/>
          </w:tcPr>
          <w:p>
            <w:r>
              <w:rPr>
                <w:b w:val="false"/>
                <w:bCs w:val="false"/>
                <w:color w:val="000000"/>
                <w:sz w:val="20"/>
                <w:szCs w:val="20"/>
              </w:rPr>
              <w:t xml:space="preserve">Account Assignment for Revenue (SD)</w:t>
            </w:r>
          </w:p>
        </w:tc>
        <w:tc>
          <w:tcPr>
            <w:tcW w:type="dxa" w:w="4800"/>
            <w:shd w:fill="DCE6F1" w:val="clear"/>
            <w:tcMar>
              <w:top w:type="dxa" w:w="100"/>
              <w:left w:type="dxa" w:w="120"/>
              <w:bottom w:type="dxa" w:w="100"/>
              <w:right w:type="dxa" w:w="120"/>
            </w:tcMar>
            <w:vAlign w:val="center"/>
          </w:tcPr>
          <w:p>
            <w:r>
              <w:rPr>
                <w:b w:val="false"/>
                <w:bCs w:val="false"/>
                <w:color w:val="000000"/>
                <w:sz w:val="20"/>
                <w:szCs w:val="20"/>
              </w:rPr>
              <w:t xml:space="preserve">Maps Sales and Distribution billing postings to the correct revenue GL accounts; maintained jointly with the SD team.</w:t>
            </w:r>
          </w:p>
        </w:tc>
      </w:tr>
    </w:tbl>
    <w:p>
      <w:pPr>
        <w:pStyle w:val="Heading1"/>
        <w:pBdr>
          <w:bottom w:val="single" w:color="2E5395" w:sz="6" w:space="4"/>
        </w:pBdr>
        <w:spacing w:after="160" w:before="360"/>
      </w:pPr>
      <w:r>
        <w:rPr>
          <w:b/>
          <w:bCs/>
          <w:color w:val="1F3864"/>
        </w:rPr>
        <w:t xml:space="preserve">12. Suggested End-to-End Configuration Sequence</w:t>
      </w:r>
    </w:p>
    <w:p>
      <w:pPr>
        <w:spacing w:after="160" w:line="276"/>
        <w:jc w:val="both"/>
      </w:pPr>
      <w:r>
        <w:rPr>
          <w:sz w:val="22"/>
          <w:szCs w:val="22"/>
        </w:rPr>
        <w:t xml:space="preserve">Configuration is not done in a random order — each layer depends on the one before it. A beginner should follow this sequence: (1) Enterprise Structure, so the organisational units exist; (2) FI Global Settings, so fiscal time and documents are defined; (3) Chart of Accounts and General Ledger, so the accounts exist to post to; (4) the sub-ledgers — Accounts Payable, Accounts Receivable, and Asset Accounting, so vendors, customers, and assets can transact; (5) Controlling, so costs and profitability can be tracked; and finally (6) Integration settings, so postings from MM and SD flow into FICO automatically. Each layer should be tested with a real posting before moving to the next.</w:t>
      </w:r>
    </w:p>
    <w:p>
      <w:pPr>
        <w:pStyle w:val="Heading1"/>
        <w:pBdr>
          <w:bottom w:val="single" w:color="2E5395" w:sz="6" w:space="4"/>
        </w:pBdr>
        <w:spacing w:after="160" w:before="360"/>
      </w:pPr>
      <w:r>
        <w:rPr>
          <w:b/>
          <w:bCs/>
          <w:color w:val="1F3864"/>
        </w:rPr>
        <w:t xml:space="preserve">13. Best Practices for Beginners</w:t>
      </w:r>
    </w:p>
    <w:p>
      <w:pPr>
        <w:pStyle w:val="ListParagraph"/>
        <w:numPr>
          <w:ilvl w:val="0"/>
          <w:numId w:val="2"/>
        </w:numPr>
        <w:spacing w:after="80" w:line="276"/>
      </w:pPr>
      <w:r>
        <w:rPr>
          <w:b/>
          <w:bCs/>
          <w:sz w:val="22"/>
          <w:szCs w:val="22"/>
        </w:rPr>
        <w:t xml:space="preserve">Always configure in a Sandbox or Development client first: </w:t>
      </w:r>
      <w:r>
        <w:rPr>
          <w:sz w:val="22"/>
          <w:szCs w:val="22"/>
        </w:rPr>
        <w:t xml:space="preserve">never make configuration changes directly in a production environment.</w:t>
      </w:r>
    </w:p>
    <w:p>
      <w:pPr>
        <w:pStyle w:val="ListParagraph"/>
        <w:numPr>
          <w:ilvl w:val="0"/>
          <w:numId w:val="2"/>
        </w:numPr>
        <w:spacing w:after="80" w:line="276"/>
      </w:pPr>
      <w:r>
        <w:rPr>
          <w:b/>
          <w:bCs/>
          <w:sz w:val="22"/>
          <w:szCs w:val="22"/>
        </w:rPr>
        <w:t xml:space="preserve">Learn the IMG tree before the shortcuts: </w:t>
      </w:r>
      <w:r>
        <w:rPr>
          <w:sz w:val="22"/>
          <w:szCs w:val="22"/>
        </w:rPr>
        <w:t xml:space="preserve">navigating SPRO by menu path first builds an understanding of how settings relate to each other; the direct transaction codes are a convenience for later.</w:t>
      </w:r>
    </w:p>
    <w:p>
      <w:pPr>
        <w:pStyle w:val="ListParagraph"/>
        <w:numPr>
          <w:ilvl w:val="0"/>
          <w:numId w:val="2"/>
        </w:numPr>
        <w:spacing w:after="80" w:line="276"/>
      </w:pPr>
      <w:r>
        <w:rPr>
          <w:b/>
          <w:bCs/>
          <w:sz w:val="22"/>
          <w:szCs w:val="22"/>
        </w:rPr>
        <w:t xml:space="preserve">Test each step immediately: </w:t>
      </w:r>
      <w:r>
        <w:rPr>
          <w:sz w:val="22"/>
          <w:szCs w:val="22"/>
        </w:rPr>
        <w:t xml:space="preserve">post a simple FI document after defining posting periods, or create a test cost center after activating CO, rather than configuring everything before testing anything.</w:t>
      </w:r>
    </w:p>
    <w:p>
      <w:pPr>
        <w:pStyle w:val="ListParagraph"/>
        <w:numPr>
          <w:ilvl w:val="0"/>
          <w:numId w:val="2"/>
        </w:numPr>
        <w:spacing w:after="80" w:line="276"/>
      </w:pPr>
      <w:r>
        <w:rPr>
          <w:b/>
          <w:bCs/>
          <w:sz w:val="22"/>
          <w:szCs w:val="22"/>
        </w:rPr>
        <w:t xml:space="preserve">Document every configuration decision: </w:t>
      </w:r>
      <w:r>
        <w:rPr>
          <w:sz w:val="22"/>
          <w:szCs w:val="22"/>
        </w:rPr>
        <w:t xml:space="preserve">a setting made without a recorded business reason becomes a mystery — and a risk — for the next person who touches the system.</w:t>
      </w:r>
    </w:p>
    <w:p>
      <w:pPr>
        <w:pStyle w:val="ListParagraph"/>
        <w:numPr>
          <w:ilvl w:val="0"/>
          <w:numId w:val="2"/>
        </w:numPr>
        <w:spacing w:after="80" w:line="276"/>
      </w:pPr>
      <w:r>
        <w:rPr>
          <w:b/>
          <w:bCs/>
          <w:sz w:val="22"/>
          <w:szCs w:val="22"/>
        </w:rPr>
        <w:t xml:space="preserve">Keep naming conventions consistent: </w:t>
      </w:r>
      <w:r>
        <w:rPr>
          <w:sz w:val="22"/>
          <w:szCs w:val="22"/>
        </w:rPr>
        <w:t xml:space="preserve">chart of accounts numbering, cost center IDs, and document type codes should follow one agreed convention across the whole project.</w:t>
      </w:r>
    </w:p>
    <w:p>
      <w:pPr>
        <w:pStyle w:val="Heading1"/>
        <w:pBdr>
          <w:bottom w:val="single" w:color="2E5395" w:sz="6" w:space="4"/>
        </w:pBdr>
        <w:spacing w:after="160" w:before="360"/>
      </w:pPr>
      <w:r>
        <w:rPr>
          <w:b/>
          <w:bCs/>
          <w:color w:val="1F3864"/>
        </w:rPr>
        <w:t xml:space="preserve">14. Common Configuration Mistakes and Troubleshooting Tips</w:t>
      </w:r>
    </w:p>
    <w:p>
      <w:pPr>
        <w:pStyle w:val="ListParagraph"/>
        <w:numPr>
          <w:ilvl w:val="0"/>
          <w:numId w:val="2"/>
        </w:numPr>
        <w:spacing w:after="80" w:line="276"/>
      </w:pPr>
      <w:r>
        <w:rPr>
          <w:b/>
          <w:bCs/>
          <w:sz w:val="22"/>
          <w:szCs w:val="22"/>
        </w:rPr>
        <w:t xml:space="preserve">“Posting period not open” error: </w:t>
      </w:r>
      <w:r>
        <w:rPr>
          <w:sz w:val="22"/>
          <w:szCs w:val="22"/>
        </w:rPr>
        <w:t xml:space="preserve">usually means the posting period variant was defined but never opened for the current period in OB52, or was never assigned to the company code in OBBP.</w:t>
      </w:r>
    </w:p>
    <w:p>
      <w:pPr>
        <w:pStyle w:val="ListParagraph"/>
        <w:numPr>
          <w:ilvl w:val="0"/>
          <w:numId w:val="2"/>
        </w:numPr>
        <w:spacing w:after="80" w:line="276"/>
      </w:pPr>
      <w:r>
        <w:rPr>
          <w:b/>
          <w:bCs/>
          <w:sz w:val="22"/>
          <w:szCs w:val="22"/>
        </w:rPr>
        <w:t xml:space="preserve">Company code cannot post at all: </w:t>
      </w:r>
      <w:r>
        <w:rPr>
          <w:sz w:val="22"/>
          <w:szCs w:val="22"/>
        </w:rPr>
        <w:t xml:space="preserve">often traced back to a missing fiscal year variant assignment (OB37) or a missing chart-of-accounts assignment (OB62).</w:t>
      </w:r>
    </w:p>
    <w:p>
      <w:pPr>
        <w:pStyle w:val="ListParagraph"/>
        <w:numPr>
          <w:ilvl w:val="0"/>
          <w:numId w:val="2"/>
        </w:numPr>
        <w:spacing w:after="80" w:line="276"/>
      </w:pPr>
      <w:r>
        <w:rPr>
          <w:b/>
          <w:bCs/>
          <w:sz w:val="22"/>
          <w:szCs w:val="22"/>
        </w:rPr>
        <w:t xml:space="preserve">“Cost element does not exist” error in CO: </w:t>
      </w:r>
      <w:r>
        <w:rPr>
          <w:sz w:val="22"/>
          <w:szCs w:val="22"/>
        </w:rPr>
        <w:t xml:space="preserve">typically means a GL account was used in a posting before it was created as a cost element (KA01), or CO was not activated for that account type.</w:t>
      </w:r>
    </w:p>
    <w:p>
      <w:pPr>
        <w:pStyle w:val="ListParagraph"/>
        <w:numPr>
          <w:ilvl w:val="0"/>
          <w:numId w:val="2"/>
        </w:numPr>
        <w:spacing w:after="80" w:line="276"/>
      </w:pPr>
      <w:r>
        <w:rPr>
          <w:b/>
          <w:bCs/>
          <w:sz w:val="22"/>
          <w:szCs w:val="22"/>
        </w:rPr>
        <w:t xml:space="preserve">Vendor or customer invoices not hitting the right G/L account: </w:t>
      </w:r>
      <w:r>
        <w:rPr>
          <w:sz w:val="22"/>
          <w:szCs w:val="22"/>
        </w:rPr>
        <w:t xml:space="preserve">usually a reconciliation account mis-assignment on the vendor/customer account group, breaking the link between the subledger and the General Ledger.</w:t>
      </w:r>
    </w:p>
    <w:p>
      <w:pPr>
        <w:pStyle w:val="ListParagraph"/>
        <w:numPr>
          <w:ilvl w:val="0"/>
          <w:numId w:val="2"/>
        </w:numPr>
        <w:spacing w:after="80" w:line="276"/>
      </w:pPr>
      <w:r>
        <w:rPr>
          <w:b/>
          <w:bCs/>
          <w:sz w:val="22"/>
          <w:szCs w:val="22"/>
        </w:rPr>
        <w:t xml:space="preserve">Asset postings failing after go-live: </w:t>
      </w:r>
      <w:r>
        <w:rPr>
          <w:sz w:val="22"/>
          <w:szCs w:val="22"/>
        </w:rPr>
        <w:t xml:space="preserve">commonly caused by the chart of depreciation not being assigned to the company code (OAOB), or an asset class missing its account determination.</w:t>
      </w:r>
    </w:p>
    <w:p>
      <w:pPr>
        <w:pStyle w:val="Heading1"/>
        <w:pBdr>
          <w:bottom w:val="single" w:color="2E5395" w:sz="6" w:space="4"/>
        </w:pBdr>
        <w:spacing w:after="160" w:before="360"/>
      </w:pPr>
      <w:r>
        <w:rPr>
          <w:b/>
          <w:bCs/>
          <w:color w:val="1F3864"/>
        </w:rPr>
        <w:t xml:space="preserve">15. Conclusion</w:t>
      </w:r>
    </w:p>
    <w:p>
      <w:pPr>
        <w:spacing w:after="160" w:line="276"/>
        <w:jc w:val="both"/>
      </w:pPr>
      <w:r>
        <w:rPr>
          <w:sz w:val="22"/>
          <w:szCs w:val="22"/>
        </w:rPr>
        <w:t xml:space="preserve">SAP FICO configuration is best understood as building a structure from the ground up: organisational units first, global rules second, the ledger and its sub-ledgers third, controlling fourth, and cross-module integration last. Each layer is a prerequisite for the one above it, which is why experienced consultants follow this sequence almost without exception. For a beginner, the most important habit to build in Week 2 is not memorising every transaction code, but understanding why each configuration step exists and what would break if it were skipped — that understanding is what turns a checklist into real configuration competence.</w:t>
      </w:r>
    </w:p>
    <w:p>
      <w:pPr>
        <w:pStyle w:val="Heading1"/>
        <w:pBdr>
          <w:bottom w:val="single" w:color="2E5395" w:sz="6" w:space="4"/>
        </w:pBdr>
        <w:spacing w:after="160" w:before="360"/>
      </w:pPr>
      <w:r>
        <w:rPr>
          <w:b/>
          <w:bCs/>
          <w:color w:val="1F3864"/>
        </w:rPr>
        <w:t xml:space="preserve">16. References</w:t>
      </w:r>
    </w:p>
    <w:p>
      <w:pPr>
        <w:spacing w:after="160" w:line="276"/>
        <w:jc w:val="both"/>
      </w:pPr>
      <w:r>
        <w:rPr>
          <w:i/>
          <w:iCs/>
          <w:sz w:val="20"/>
          <w:szCs w:val="20"/>
        </w:rPr>
        <w:t xml:space="preserve">SAP SE product documentation (SAP Help Portal) for SAP S/4HANA Finance and SAP ERP Financials (FI) and Controlling (CO) configuration guides; general SAP FICO customizing (IMG) reference materials and transaction-code listings commonly used in SAP consulting practice.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SAP FICO Internship  |  Week 2: SAP FICO Configuration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2026-09-10T10:14:32.251Z</dcterms:created>
  <dcterms:modified xsi:type="dcterms:W3CDTF">2026-09-10T10:14:32.260Z</dcterms:modified>
</cp:coreProperties>
</file>

<file path=docProps/custom.xml><?xml version="1.0" encoding="utf-8"?>
<Properties xmlns="http://schemas.openxmlformats.org/officeDocument/2006/custom-properties" xmlns:vt="http://schemas.openxmlformats.org/officeDocument/2006/docPropsVTypes"/>
</file>