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b/>
          <w:bCs/>
          <w:caps/>
          <w:color w:val="B8860B"/>
          <w:sz w:val="22"/>
          <w:szCs w:val="22"/>
        </w:rPr>
        <w:t xml:space="preserve">SAP FICO INTERNSHIP PROGRAM</w:t>
      </w:r>
    </w:p>
    <w:p>
      <w:pPr>
        <w:spacing w:after="300"/>
        <w:jc w:val="center"/>
      </w:pPr>
      <w:r>
        <w:rPr>
          <w:color w:val="595959"/>
          <w:sz w:val="22"/>
          <w:szCs w:val="22"/>
        </w:rPr>
        <w:t xml:space="preserve">Week 4 Task</w:t>
      </w:r>
    </w:p>
    <w:p>
      <w:pPr>
        <w:spacing w:after="200" w:before="200"/>
        <w:jc w:val="center"/>
      </w:pPr>
      <w:r>
        <w:rPr>
          <w:b/>
          <w:bCs/>
          <w:color w:val="1F3864"/>
          <w:sz w:val="52"/>
          <w:szCs w:val="52"/>
        </w:rPr>
        <w:t xml:space="preserve">SAP FICO Reports</w:t>
      </w:r>
    </w:p>
    <w:p>
      <w:pPr>
        <w:spacing w:after="700"/>
        <w:jc w:val="center"/>
      </w:pPr>
      <w:r>
        <w:rPr>
          <w:i/>
          <w:iCs/>
          <w:color w:val="595959"/>
          <w:sz w:val="28"/>
          <w:szCs w:val="28"/>
        </w:rPr>
        <w:t xml:space="preserve">Types, Use Cases, and Business Benefits</w:t>
      </w:r>
    </w:p>
    <w:p>
      <w:pPr>
        <w:pBdr>
          <w:top w:val="single" w:color="B8860B" w:sz="6" w:space="12"/>
          <w:bottom w:val="single" w:color="B8860B" w:sz="6" w:space="12"/>
        </w:pBdr>
        <w:spacing w:after="3200"/>
        <w:jc w:val="center"/>
      </w:pPr>
      <w:r>
        <w:rPr>
          <w:i/>
          <w:iCs/>
          <w:color w:val="262626"/>
          <w:sz w:val="20"/>
          <w:szCs w:val="20"/>
        </w:rPr>
        <w:t xml:space="preserve">A practical guide to the Financial Accounting (FI) and Controlling (CO) reports every SAP FICO consultant should know — what they show, how they are generated, and why they matter to the business</w:t>
      </w:r>
    </w:p>
    <w:p>
      <w:pPr>
        <w:spacing w:after="60"/>
        <w:jc w:val="center"/>
      </w:pPr>
      <w:r>
        <w:rPr>
          <w:color w:val="262626"/>
          <w:sz w:val="22"/>
          <w:szCs w:val="22"/>
        </w:rPr>
        <w:t xml:space="preserve">Prepared by:  [Your Name]</w:t>
      </w:r>
    </w:p>
    <w:p>
      <w:pPr>
        <w:spacing w:after="60"/>
        <w:jc w:val="center"/>
      </w:pPr>
      <w:r>
        <w:rPr>
          <w:color w:val="262626"/>
          <w:sz w:val="22"/>
          <w:szCs w:val="22"/>
        </w:rPr>
        <w:t xml:space="preserve">Reviewed under the guidance of: SAP FICO Domain Expert (20+ years' experience)</w:t>
      </w:r>
    </w:p>
    <w:p>
      <w:pPr>
        <w:spacing w:after="60"/>
        <w:jc w:val="center"/>
      </w:pPr>
      <w:r>
        <w:rPr>
          <w:color w:val="262626"/>
          <w:sz w:val="22"/>
          <w:szCs w:val="22"/>
        </w:rPr>
        <w:t xml:space="preserve">Date: September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B8860B" w:sz="8" w:space="4"/>
        </w:pBdr>
        <w:spacing w:after="160" w:before="360"/>
      </w:pPr>
      <w:r>
        <w:rPr>
          <w:b/>
          <w:bCs/>
          <w:color w:val="1F3864"/>
          <w:sz w:val="28"/>
          <w:szCs w:val="28"/>
        </w:rPr>
        <w:t xml:space="preserve">Table of Contents</w:t>
      </w:r>
    </w:p>
    <w:p>
      <w:pPr>
        <w:spacing w:after="100"/>
      </w:pPr>
      <w:r>
        <w:rPr>
          <w:color w:val="262626"/>
          <w:sz w:val="22"/>
          <w:szCs w:val="22"/>
        </w:rPr>
        <w:t xml:space="preserve">1. Executive Summary</w:t>
      </w:r>
    </w:p>
    <w:p>
      <w:pPr>
        <w:spacing w:after="100"/>
      </w:pPr>
      <w:r>
        <w:rPr>
          <w:color w:val="262626"/>
          <w:sz w:val="22"/>
          <w:szCs w:val="22"/>
        </w:rPr>
        <w:t xml:space="preserve">2. Why Reporting Matters in SAP FICO</w:t>
      </w:r>
    </w:p>
    <w:p>
      <w:pPr>
        <w:spacing w:after="100"/>
      </w:pPr>
      <w:r>
        <w:rPr>
          <w:color w:val="262626"/>
          <w:sz w:val="22"/>
          <w:szCs w:val="22"/>
        </w:rPr>
        <w:t xml:space="preserve">3. Reporting Tools and Technologies in SAP FICO</w:t>
      </w:r>
    </w:p>
    <w:p>
      <w:pPr>
        <w:spacing w:after="100"/>
      </w:pPr>
      <w:r>
        <w:rPr>
          <w:color w:val="262626"/>
          <w:sz w:val="22"/>
          <w:szCs w:val="22"/>
        </w:rPr>
        <w:t xml:space="preserve">4. Financial Accounting (FI) Reports</w:t>
      </w:r>
    </w:p>
    <w:p>
      <w:pPr>
        <w:spacing w:after="100"/>
      </w:pPr>
      <w:r>
        <w:rPr>
          <w:color w:val="262626"/>
          <w:sz w:val="22"/>
          <w:szCs w:val="22"/>
        </w:rPr>
        <w:t xml:space="preserve">5. Controlling (CO) Reports</w:t>
      </w:r>
    </w:p>
    <w:p>
      <w:pPr>
        <w:spacing w:after="100"/>
      </w:pPr>
      <w:r>
        <w:rPr>
          <w:color w:val="262626"/>
          <w:sz w:val="22"/>
          <w:szCs w:val="22"/>
        </w:rPr>
        <w:t xml:space="preserve">6. Summary Table: Key Reports at a Glance</w:t>
      </w:r>
    </w:p>
    <w:p>
      <w:pPr>
        <w:spacing w:after="100"/>
      </w:pPr>
      <w:r>
        <w:rPr>
          <w:color w:val="262626"/>
          <w:sz w:val="22"/>
          <w:szCs w:val="22"/>
        </w:rPr>
        <w:t xml:space="preserve">7. Benefits of SAP FICO Reporting</w:t>
      </w:r>
    </w:p>
    <w:p>
      <w:pPr>
        <w:spacing w:after="100"/>
      </w:pPr>
      <w:r>
        <w:rPr>
          <w:color w:val="262626"/>
          <w:sz w:val="22"/>
          <w:szCs w:val="22"/>
        </w:rPr>
        <w:t xml:space="preserve">8. Conclusion</w:t>
      </w:r>
    </w:p>
    <w:p>
      <w:r>
        <w:br w:type="page"/>
      </w:r>
    </w:p>
    <w:p>
      <w:pPr>
        <w:pStyle w:val="Heading1"/>
        <w:pBdr>
          <w:bottom w:val="single" w:color="B8860B" w:sz="8" w:space="4"/>
        </w:pBdr>
        <w:spacing w:after="160" w:before="360"/>
      </w:pPr>
      <w:r>
        <w:rPr>
          <w:b/>
          <w:bCs/>
          <w:color w:val="1F3864"/>
          <w:sz w:val="28"/>
          <w:szCs w:val="28"/>
        </w:rPr>
        <w:t xml:space="preserve">1. Executive Summary</w:t>
      </w:r>
    </w:p>
    <w:p>
      <w:pPr>
        <w:spacing w:after="160" w:line="288"/>
        <w:jc w:val="both"/>
      </w:pPr>
      <w:r>
        <w:rPr>
          <w:color w:val="262626"/>
          <w:sz w:val="22"/>
          <w:szCs w:val="22"/>
        </w:rPr>
        <w:t xml:space="preserve">Reporting is the ultimate deliverable of any SAP FICO implementation. Every posting made in Financial Accounting (FI) and every cost allocation made in Controlling (CO) exists so that, eventually, it can be turned into a report someone relies on to close the books, satisfy an auditor, or make a decision. This document explains the major categories of SAP FICO reports, the tools SAP provides to build and run them, and the specific business use cases they support. It is organized into two broad report families — Financial Accounting reports, which are largely statutory and external-facing, and Controlling reports, which are internal and management-facing — followed by a consolidated summary table and a discussion of the overall business benefits that strong FICO reporting delivers.</w:t>
      </w:r>
    </w:p>
    <w:p>
      <w:pPr>
        <w:pStyle w:val="Heading1"/>
        <w:pBdr>
          <w:bottom w:val="single" w:color="B8860B" w:sz="8" w:space="4"/>
        </w:pBdr>
        <w:spacing w:after="160" w:before="360"/>
      </w:pPr>
      <w:r>
        <w:rPr>
          <w:b/>
          <w:bCs/>
          <w:color w:val="1F3864"/>
          <w:sz w:val="28"/>
          <w:szCs w:val="28"/>
        </w:rPr>
        <w:t xml:space="preserve">2. Why Reporting Matters in SAP FICO</w:t>
      </w:r>
    </w:p>
    <w:p>
      <w:pPr>
        <w:spacing w:after="160" w:line="288"/>
        <w:jc w:val="both"/>
      </w:pPr>
      <w:r>
        <w:rPr>
          <w:color w:val="262626"/>
          <w:sz w:val="22"/>
          <w:szCs w:val="22"/>
        </w:rPr>
        <w:t xml:space="preserve">SAP FICO captures a very large volume of granular financial data every day — invoices, payments, depreciation runs, cost allocations, and journal entries. On its own, this data has limited value. Reporting is what converts it into information that different stakeholders can act on. Reporting matters in SAP FICO for several reasons:</w:t>
      </w:r>
    </w:p>
    <w:p>
      <w:pPr>
        <w:pStyle w:val="ListParagraph"/>
        <w:numPr>
          <w:ilvl w:val="0"/>
          <w:numId w:val="2"/>
        </w:numPr>
        <w:spacing w:after="90" w:line="276"/>
      </w:pPr>
      <w:r>
        <w:rPr>
          <w:color w:val="262626"/>
          <w:sz w:val="22"/>
          <w:szCs w:val="22"/>
        </w:rPr>
        <w:t xml:space="preserve">Real-time financial visibility: Finance leaders need an up-to-date view of cash, receivables, payables, and profitability without waiting for a manual consolidation exercise.</w:t>
      </w:r>
    </w:p>
    <w:p>
      <w:pPr>
        <w:pStyle w:val="ListParagraph"/>
        <w:numPr>
          <w:ilvl w:val="0"/>
          <w:numId w:val="2"/>
        </w:numPr>
        <w:spacing w:after="90" w:line="276"/>
      </w:pPr>
      <w:r>
        <w:rPr>
          <w:color w:val="262626"/>
          <w:sz w:val="22"/>
          <w:szCs w:val="22"/>
        </w:rPr>
        <w:t xml:space="preserve">Regulatory and statutory compliance: Balance sheets, profit and loss statements, tax returns, and other statutory filings must be produced accurately and on schedule.</w:t>
      </w:r>
    </w:p>
    <w:p>
      <w:pPr>
        <w:pStyle w:val="ListParagraph"/>
        <w:numPr>
          <w:ilvl w:val="0"/>
          <w:numId w:val="2"/>
        </w:numPr>
        <w:spacing w:after="90" w:line="276"/>
      </w:pPr>
      <w:r>
        <w:rPr>
          <w:color w:val="262626"/>
          <w:sz w:val="22"/>
          <w:szCs w:val="22"/>
        </w:rPr>
        <w:t xml:space="preserve">Decision support: Cost center managers, product managers, and business unit heads rely on CO reports to control budgets, price products, and evaluate profitability.</w:t>
      </w:r>
    </w:p>
    <w:p>
      <w:pPr>
        <w:pStyle w:val="ListParagraph"/>
        <w:numPr>
          <w:ilvl w:val="0"/>
          <w:numId w:val="2"/>
        </w:numPr>
        <w:spacing w:after="90" w:line="276"/>
      </w:pPr>
      <w:r>
        <w:rPr>
          <w:color w:val="262626"/>
          <w:sz w:val="22"/>
          <w:szCs w:val="22"/>
        </w:rPr>
        <w:t xml:space="preserve">Audit trail and traceability: SAP reports allow a user to drill down from a summarized number all the way to the originating document, which is essential for internal controls and external audit.</w:t>
      </w:r>
    </w:p>
    <w:p>
      <w:pPr>
        <w:pStyle w:val="ListParagraph"/>
        <w:numPr>
          <w:ilvl w:val="0"/>
          <w:numId w:val="2"/>
        </w:numPr>
        <w:spacing w:after="90" w:line="276"/>
      </w:pPr>
      <w:r>
        <w:rPr>
          <w:color w:val="262626"/>
          <w:sz w:val="22"/>
          <w:szCs w:val="22"/>
        </w:rPr>
        <w:t xml:space="preserve">Standardization across the enterprise: A shared set of report definitions ensures that every entity, region, and business unit reports numbers on a comparable, consistent basis.</w:t>
      </w:r>
    </w:p>
    <w:p>
      <w:pPr>
        <w:pStyle w:val="Heading1"/>
        <w:pBdr>
          <w:bottom w:val="single" w:color="B8860B" w:sz="8" w:space="4"/>
        </w:pBdr>
        <w:spacing w:after="160" w:before="360"/>
      </w:pPr>
      <w:r>
        <w:rPr>
          <w:b/>
          <w:bCs/>
          <w:color w:val="1F3864"/>
          <w:sz w:val="28"/>
          <w:szCs w:val="28"/>
        </w:rPr>
        <w:t xml:space="preserve">3. Reporting Tools and Technologies in SAP FICO</w:t>
      </w:r>
    </w:p>
    <w:p>
      <w:pPr>
        <w:spacing w:after="160" w:line="288"/>
        <w:jc w:val="both"/>
      </w:pPr>
      <w:r>
        <w:rPr>
          <w:color w:val="262626"/>
          <w:sz w:val="22"/>
          <w:szCs w:val="22"/>
        </w:rPr>
        <w:t xml:space="preserve">SAP provides several complementary technologies for building and consuming FICO reports, ranging from ready-made standard reports to fully custom, self-service tools:</w:t>
      </w:r>
    </w:p>
    <w:p>
      <w:pPr>
        <w:pStyle w:val="ListParagraph"/>
        <w:numPr>
          <w:ilvl w:val="0"/>
          <w:numId w:val="2"/>
        </w:numPr>
        <w:spacing w:after="90" w:line="276"/>
      </w:pPr>
      <w:r>
        <w:rPr>
          <w:color w:val="262626"/>
          <w:sz w:val="22"/>
          <w:szCs w:val="22"/>
        </w:rPr>
        <w:t xml:space="preserve">Standard SAP Reports: Pre-delivered reports (many with transaction codes beginning S_ALR_*) that require little or no configuration and cover the most common FI and CO reporting needs out of the box.</w:t>
      </w:r>
    </w:p>
    <w:p>
      <w:pPr>
        <w:pStyle w:val="ListParagraph"/>
        <w:numPr>
          <w:ilvl w:val="0"/>
          <w:numId w:val="2"/>
        </w:numPr>
        <w:spacing w:after="90" w:line="276"/>
      </w:pPr>
      <w:r>
        <w:rPr>
          <w:color w:val="262626"/>
          <w:sz w:val="22"/>
          <w:szCs w:val="22"/>
        </w:rPr>
        <w:t xml:space="preserve">Report Painter and Report Writer: SAP's classic tools for building custom financial and cost reports from a library of characteristics (e.g., company code, cost center, fiscal period) and key figures (e.g., amount, quantity), without writing ABAP code. Widely used for GL and CO management reports.</w:t>
      </w:r>
    </w:p>
    <w:p>
      <w:pPr>
        <w:pStyle w:val="ListParagraph"/>
        <w:numPr>
          <w:ilvl w:val="0"/>
          <w:numId w:val="2"/>
        </w:numPr>
        <w:spacing w:after="90" w:line="276"/>
      </w:pPr>
      <w:r>
        <w:rPr>
          <w:color w:val="262626"/>
          <w:sz w:val="22"/>
          <w:szCs w:val="22"/>
        </w:rPr>
        <w:t xml:space="preserve">Drilldown Reporting: Enables multidimensional, interactive analysis — users can drill down from a total into its underlying components (for example, from a company's total revenue down to revenue by region, then by product) directly on screen.</w:t>
      </w:r>
    </w:p>
    <w:p>
      <w:pPr>
        <w:pStyle w:val="ListParagraph"/>
        <w:numPr>
          <w:ilvl w:val="0"/>
          <w:numId w:val="2"/>
        </w:numPr>
        <w:spacing w:after="90" w:line="276"/>
      </w:pPr>
      <w:r>
        <w:rPr>
          <w:color w:val="262626"/>
          <w:sz w:val="22"/>
          <w:szCs w:val="22"/>
        </w:rPr>
        <w:t xml:space="preserve">SAP Query / ABAP Query: An ad hoc reporting tool that lets power users build simple reports directly from underlying FI/CO tables without a developer, useful for one-off or exploratory analysis.</w:t>
      </w:r>
    </w:p>
    <w:p>
      <w:pPr>
        <w:pStyle w:val="ListParagraph"/>
        <w:numPr>
          <w:ilvl w:val="0"/>
          <w:numId w:val="2"/>
        </w:numPr>
        <w:spacing w:after="90" w:line="276"/>
      </w:pPr>
      <w:r>
        <w:rPr>
          <w:color w:val="262626"/>
          <w:sz w:val="22"/>
          <w:szCs w:val="22"/>
        </w:rPr>
        <w:t xml:space="preserve">ABAP List Viewer (ALV): The standard grid display used by most line-item reports (such as vendor or customer line items), offering on-the-fly sorting, filtering, subtotaling, and export to Excel.</w:t>
      </w:r>
    </w:p>
    <w:p>
      <w:pPr>
        <w:pStyle w:val="ListParagraph"/>
        <w:numPr>
          <w:ilvl w:val="0"/>
          <w:numId w:val="2"/>
        </w:numPr>
        <w:spacing w:after="90" w:line="276"/>
      </w:pPr>
      <w:r>
        <w:rPr>
          <w:color w:val="262626"/>
          <w:sz w:val="22"/>
          <w:szCs w:val="22"/>
        </w:rPr>
        <w:t xml:space="preserve">SAP BusinessObjects / SAP BW/BI: Enterprise data warehouse and business intelligence tools used to build dashboards and cross-module reports that combine FICO data with sales, logistics, or HR data.</w:t>
      </w:r>
    </w:p>
    <w:p>
      <w:pPr>
        <w:pStyle w:val="ListParagraph"/>
        <w:numPr>
          <w:ilvl w:val="0"/>
          <w:numId w:val="2"/>
        </w:numPr>
        <w:spacing w:after="90" w:line="276"/>
      </w:pPr>
      <w:r>
        <w:rPr>
          <w:color w:val="262626"/>
          <w:sz w:val="22"/>
          <w:szCs w:val="22"/>
        </w:rPr>
        <w:t xml:space="preserve">S/4HANA Embedded Analytics and Fiori Apps: In S/4HANA, FI and CO postings flow into a single Universal Journal table (ACDOCA), which eliminates reconciliation between FI and CO and enables real-time, self-service reporting through Fiori apps such as "Display Financial Statement" and "Display G/L Account Balances," without a separate data-warehouse extraction step.</w:t>
      </w:r>
    </w:p>
    <w:p>
      <w:pPr>
        <w:pStyle w:val="Heading1"/>
        <w:pBdr>
          <w:bottom w:val="single" w:color="B8860B" w:sz="8" w:space="4"/>
        </w:pBdr>
        <w:spacing w:after="160" w:before="360"/>
      </w:pPr>
      <w:r>
        <w:rPr>
          <w:b/>
          <w:bCs/>
          <w:color w:val="1F3864"/>
          <w:sz w:val="28"/>
          <w:szCs w:val="28"/>
        </w:rPr>
        <w:t xml:space="preserve">4. Financial Accounting (FI) Reports</w:t>
      </w:r>
    </w:p>
    <w:p>
      <w:pPr>
        <w:spacing w:after="160" w:line="288"/>
        <w:jc w:val="both"/>
      </w:pPr>
      <w:r>
        <w:rPr>
          <w:color w:val="262626"/>
          <w:sz w:val="22"/>
          <w:szCs w:val="22"/>
        </w:rPr>
        <w:t xml:space="preserve">FI reports are primarily concerned with legal and statutory reporting — the numbers a company is required to produce for regulators, tax authorities, auditors, and external stakeholders such as banks and investors.</w:t>
      </w:r>
    </w:p>
    <w:p>
      <w:pPr>
        <w:pStyle w:val="Heading2"/>
        <w:spacing w:after="120" w:before="260"/>
      </w:pPr>
      <w:r>
        <w:rPr>
          <w:b/>
          <w:bCs/>
          <w:color w:val="1F3864"/>
          <w:sz w:val="24"/>
          <w:szCs w:val="24"/>
        </w:rPr>
        <w:t xml:space="preserve">4.1 General Ledger (GL) Reports</w:t>
      </w:r>
    </w:p>
    <w:p>
      <w:pPr>
        <w:spacing w:after="160" w:line="288"/>
        <w:jc w:val="both"/>
      </w:pPr>
      <w:r>
        <w:rPr>
          <w:color w:val="262626"/>
          <w:sz w:val="22"/>
          <w:szCs w:val="22"/>
        </w:rPr>
        <w:t xml:space="preserve">GL reports show account balances and postings at the company code, business area, or profit center level, and roll up into the company's official financial statements.</w:t>
      </w:r>
    </w:p>
    <w:p>
      <w:pPr>
        <w:pStyle w:val="ListParagraph"/>
        <w:numPr>
          <w:ilvl w:val="0"/>
          <w:numId w:val="2"/>
        </w:numPr>
        <w:spacing w:after="90" w:line="276"/>
      </w:pPr>
      <w:r>
        <w:rPr>
          <w:color w:val="262626"/>
          <w:sz w:val="22"/>
          <w:szCs w:val="22"/>
        </w:rPr>
        <w:t xml:space="preserve">G/L Account Balance Display and Line Item Display — show period-wise balances and individual postings for any GL account (common transactions: FS10N, FBL3N).</w:t>
      </w:r>
    </w:p>
    <w:p>
      <w:pPr>
        <w:pStyle w:val="ListParagraph"/>
        <w:numPr>
          <w:ilvl w:val="0"/>
          <w:numId w:val="2"/>
        </w:numPr>
        <w:spacing w:after="90" w:line="276"/>
      </w:pPr>
      <w:r>
        <w:rPr>
          <w:color w:val="262626"/>
          <w:sz w:val="22"/>
          <w:szCs w:val="22"/>
        </w:rPr>
        <w:t xml:space="preserve">Financial Statements (Balance Sheet and Profit &amp; Loss) — generated using a Financial Statement Version that maps GL accounts to standard reporting line items (common transaction: F.01).</w:t>
      </w:r>
    </w:p>
    <w:p>
      <w:pPr>
        <w:pStyle w:val="ListParagraph"/>
        <w:numPr>
          <w:ilvl w:val="0"/>
          <w:numId w:val="2"/>
        </w:numPr>
        <w:spacing w:after="90" w:line="276"/>
      </w:pPr>
      <w:r>
        <w:rPr>
          <w:color w:val="262626"/>
          <w:sz w:val="22"/>
          <w:szCs w:val="22"/>
        </w:rPr>
        <w:t xml:space="preserve">Trial Balance and Compact Document Journal — a full listing of debit/credit postings for a period, used to verify that the books are balanced before closing.</w:t>
      </w:r>
    </w:p>
    <w:p>
      <w:pPr>
        <w:pStyle w:val="ListParagraph"/>
        <w:numPr>
          <w:ilvl w:val="0"/>
          <w:numId w:val="2"/>
        </w:numPr>
        <w:spacing w:after="90" w:line="276"/>
      </w:pPr>
      <w:r>
        <w:rPr>
          <w:color w:val="262626"/>
          <w:sz w:val="22"/>
          <w:szCs w:val="22"/>
        </w:rPr>
        <w:t xml:space="preserve">Use cases: month-end and year-end close, statutory financial reporting, external audit support, account reconciliation.</w:t>
      </w:r>
    </w:p>
    <w:p>
      <w:pPr>
        <w:pStyle w:val="Heading2"/>
        <w:spacing w:after="120" w:before="260"/>
      </w:pPr>
      <w:r>
        <w:rPr>
          <w:b/>
          <w:bCs/>
          <w:color w:val="1F3864"/>
          <w:sz w:val="24"/>
          <w:szCs w:val="24"/>
        </w:rPr>
        <w:t xml:space="preserve">4.2 Accounts Payable (AP) Reports</w:t>
      </w:r>
    </w:p>
    <w:p>
      <w:pPr>
        <w:pStyle w:val="ListParagraph"/>
        <w:numPr>
          <w:ilvl w:val="0"/>
          <w:numId w:val="2"/>
        </w:numPr>
        <w:spacing w:after="90" w:line="276"/>
      </w:pPr>
      <w:r>
        <w:rPr>
          <w:color w:val="262626"/>
          <w:sz w:val="22"/>
          <w:szCs w:val="22"/>
        </w:rPr>
        <w:t xml:space="preserve">Vendor Line Item Display and Vendor Balance Display — show open and cleared invoices per vendor (common transactions: FBL1N, FK10N).</w:t>
      </w:r>
    </w:p>
    <w:p>
      <w:pPr>
        <w:pStyle w:val="ListParagraph"/>
        <w:numPr>
          <w:ilvl w:val="0"/>
          <w:numId w:val="2"/>
        </w:numPr>
        <w:spacing w:after="90" w:line="276"/>
      </w:pPr>
      <w:r>
        <w:rPr>
          <w:color w:val="262626"/>
          <w:sz w:val="22"/>
          <w:szCs w:val="22"/>
        </w:rPr>
        <w:t xml:space="preserve">Vendor Aging / Open Item Analysis and Due Date Forecast — group open payables by how overdue or upcoming they are, supporting cash-outflow planning.</w:t>
      </w:r>
    </w:p>
    <w:p>
      <w:pPr>
        <w:pStyle w:val="ListParagraph"/>
        <w:numPr>
          <w:ilvl w:val="0"/>
          <w:numId w:val="2"/>
        </w:numPr>
        <w:spacing w:after="90" w:line="276"/>
      </w:pPr>
      <w:r>
        <w:rPr>
          <w:color w:val="262626"/>
          <w:sz w:val="22"/>
          <w:szCs w:val="22"/>
        </w:rPr>
        <w:t xml:space="preserve">Payment History and Vendor Evaluation Reports — track payment patterns and vendor-level spend.</w:t>
      </w:r>
    </w:p>
    <w:p>
      <w:pPr>
        <w:pStyle w:val="ListParagraph"/>
        <w:numPr>
          <w:ilvl w:val="0"/>
          <w:numId w:val="2"/>
        </w:numPr>
        <w:spacing w:after="90" w:line="276"/>
      </w:pPr>
      <w:r>
        <w:rPr>
          <w:color w:val="262626"/>
          <w:sz w:val="22"/>
          <w:szCs w:val="22"/>
        </w:rPr>
        <w:t xml:space="preserve">Use cases: cash flow and working-capital planning, prioritizing which vendors to pay first, negotiating payment terms, days payable outstanding (DPO) analysis.</w:t>
      </w:r>
    </w:p>
    <w:p>
      <w:pPr>
        <w:pStyle w:val="Heading2"/>
        <w:spacing w:after="120" w:before="260"/>
      </w:pPr>
      <w:r>
        <w:rPr>
          <w:b/>
          <w:bCs/>
          <w:color w:val="1F3864"/>
          <w:sz w:val="24"/>
          <w:szCs w:val="24"/>
        </w:rPr>
        <w:t xml:space="preserve">4.3 Accounts Receivable (AR) Reports</w:t>
      </w:r>
    </w:p>
    <w:p>
      <w:pPr>
        <w:pStyle w:val="ListParagraph"/>
        <w:numPr>
          <w:ilvl w:val="0"/>
          <w:numId w:val="2"/>
        </w:numPr>
        <w:spacing w:after="90" w:line="276"/>
      </w:pPr>
      <w:r>
        <w:rPr>
          <w:color w:val="262626"/>
          <w:sz w:val="22"/>
          <w:szCs w:val="22"/>
        </w:rPr>
        <w:t xml:space="preserve">Customer Line Item Display and Customer Balance Display — show open and cleared invoices per customer (common transactions: FBL5N, FD10N).</w:t>
      </w:r>
    </w:p>
    <w:p>
      <w:pPr>
        <w:pStyle w:val="ListParagraph"/>
        <w:numPr>
          <w:ilvl w:val="0"/>
          <w:numId w:val="2"/>
        </w:numPr>
        <w:spacing w:after="90" w:line="276"/>
      </w:pPr>
      <w:r>
        <w:rPr>
          <w:color w:val="262626"/>
          <w:sz w:val="22"/>
          <w:szCs w:val="22"/>
        </w:rPr>
        <w:t xml:space="preserve">Customer Aging / Overdue Analysis — groups outstanding receivables into aging buckets (e.g., 0–30, 31–60, 61–90 days) to flag collection risk.</w:t>
      </w:r>
    </w:p>
    <w:p>
      <w:pPr>
        <w:pStyle w:val="ListParagraph"/>
        <w:numPr>
          <w:ilvl w:val="0"/>
          <w:numId w:val="2"/>
        </w:numPr>
        <w:spacing w:after="90" w:line="276"/>
      </w:pPr>
      <w:r>
        <w:rPr>
          <w:color w:val="262626"/>
          <w:sz w:val="22"/>
          <w:szCs w:val="22"/>
        </w:rPr>
        <w:t xml:space="preserve">Credit Management and Dunning History Reports — show customer credit exposure and the history of payment reminders sent.</w:t>
      </w:r>
    </w:p>
    <w:p>
      <w:pPr>
        <w:pStyle w:val="ListParagraph"/>
        <w:numPr>
          <w:ilvl w:val="0"/>
          <w:numId w:val="2"/>
        </w:numPr>
        <w:spacing w:after="90" w:line="276"/>
      </w:pPr>
      <w:r>
        <w:rPr>
          <w:color w:val="262626"/>
          <w:sz w:val="22"/>
          <w:szCs w:val="22"/>
        </w:rPr>
        <w:t xml:space="preserve">Use cases: collections prioritization, credit risk management, days sales outstanding (DSO) analysis, bad-debt provisioning.</w:t>
      </w:r>
    </w:p>
    <w:p>
      <w:pPr>
        <w:pStyle w:val="Heading2"/>
        <w:spacing w:after="120" w:before="260"/>
      </w:pPr>
      <w:r>
        <w:rPr>
          <w:b/>
          <w:bCs/>
          <w:color w:val="1F3864"/>
          <w:sz w:val="24"/>
          <w:szCs w:val="24"/>
        </w:rPr>
        <w:t xml:space="preserve">4.4 Asset Accounting Reports</w:t>
      </w:r>
    </w:p>
    <w:p>
      <w:pPr>
        <w:pStyle w:val="ListParagraph"/>
        <w:numPr>
          <w:ilvl w:val="0"/>
          <w:numId w:val="2"/>
        </w:numPr>
        <w:spacing w:after="90" w:line="276"/>
      </w:pPr>
      <w:r>
        <w:rPr>
          <w:color w:val="262626"/>
          <w:sz w:val="22"/>
          <w:szCs w:val="22"/>
        </w:rPr>
        <w:t xml:space="preserve">Asset History Sheet — summarizes acquisitions, retirements, transfers, and accumulated depreciation for a class of fixed assets over a period.</w:t>
      </w:r>
    </w:p>
    <w:p>
      <w:pPr>
        <w:pStyle w:val="ListParagraph"/>
        <w:numPr>
          <w:ilvl w:val="0"/>
          <w:numId w:val="2"/>
        </w:numPr>
        <w:spacing w:after="90" w:line="276"/>
      </w:pPr>
      <w:r>
        <w:rPr>
          <w:color w:val="262626"/>
          <w:sz w:val="22"/>
          <w:szCs w:val="22"/>
        </w:rPr>
        <w:t xml:space="preserve">Asset Explorer — a single-asset view of planned versus posted depreciation values across the asset's life (common transaction: AW01N).</w:t>
      </w:r>
    </w:p>
    <w:p>
      <w:pPr>
        <w:pStyle w:val="ListParagraph"/>
        <w:numPr>
          <w:ilvl w:val="0"/>
          <w:numId w:val="2"/>
        </w:numPr>
        <w:spacing w:after="90" w:line="276"/>
      </w:pPr>
      <w:r>
        <w:rPr>
          <w:color w:val="262626"/>
          <w:sz w:val="22"/>
          <w:szCs w:val="22"/>
        </w:rPr>
        <w:t xml:space="preserve">Depreciation Forecast / Simulation Reports — project future depreciation expense under current asset books.</w:t>
      </w:r>
    </w:p>
    <w:p>
      <w:pPr>
        <w:pStyle w:val="ListParagraph"/>
        <w:numPr>
          <w:ilvl w:val="0"/>
          <w:numId w:val="2"/>
        </w:numPr>
        <w:spacing w:after="90" w:line="276"/>
      </w:pPr>
      <w:r>
        <w:rPr>
          <w:color w:val="262626"/>
          <w:sz w:val="22"/>
          <w:szCs w:val="22"/>
        </w:rPr>
        <w:t xml:space="preserve">Use cases: fixed asset audits, capital expenditure (capex) tracking, depreciation and budget planning, statutory asset registers.</w:t>
      </w:r>
    </w:p>
    <w:p>
      <w:pPr>
        <w:pStyle w:val="Heading2"/>
        <w:spacing w:after="120" w:before="260"/>
      </w:pPr>
      <w:r>
        <w:rPr>
          <w:b/>
          <w:bCs/>
          <w:color w:val="1F3864"/>
          <w:sz w:val="24"/>
          <w:szCs w:val="24"/>
        </w:rPr>
        <w:t xml:space="preserve">4.5 Bank and Cash Management Reports</w:t>
      </w:r>
    </w:p>
    <w:p>
      <w:pPr>
        <w:pStyle w:val="ListParagraph"/>
        <w:numPr>
          <w:ilvl w:val="0"/>
          <w:numId w:val="2"/>
        </w:numPr>
        <w:spacing w:after="90" w:line="276"/>
      </w:pPr>
      <w:r>
        <w:rPr>
          <w:color w:val="262626"/>
          <w:sz w:val="22"/>
          <w:szCs w:val="22"/>
        </w:rPr>
        <w:t xml:space="preserve">Bank Reconciliation Statement — compares the company's book cash balance against the bank statement.</w:t>
      </w:r>
    </w:p>
    <w:p>
      <w:pPr>
        <w:pStyle w:val="ListParagraph"/>
        <w:numPr>
          <w:ilvl w:val="0"/>
          <w:numId w:val="2"/>
        </w:numPr>
        <w:spacing w:after="90" w:line="276"/>
      </w:pPr>
      <w:r>
        <w:rPr>
          <w:color w:val="262626"/>
          <w:sz w:val="22"/>
          <w:szCs w:val="22"/>
        </w:rPr>
        <w:t xml:space="preserve">Cash Position and Liquidity Forecast Reports — consolidate cash balances and near-term expected inflows/outflows across bank accounts.</w:t>
      </w:r>
    </w:p>
    <w:p>
      <w:pPr>
        <w:pStyle w:val="ListParagraph"/>
        <w:numPr>
          <w:ilvl w:val="0"/>
          <w:numId w:val="2"/>
        </w:numPr>
        <w:spacing w:after="90" w:line="276"/>
      </w:pPr>
      <w:r>
        <w:rPr>
          <w:color w:val="262626"/>
          <w:sz w:val="22"/>
          <w:szCs w:val="22"/>
        </w:rPr>
        <w:t xml:space="preserve">Use cases: daily treasury operations, short-term liquidity planning, fraud and error detection in bank postings.</w:t>
      </w:r>
    </w:p>
    <w:p>
      <w:pPr>
        <w:pStyle w:val="Heading2"/>
        <w:spacing w:after="120" w:before="260"/>
      </w:pPr>
      <w:r>
        <w:rPr>
          <w:b/>
          <w:bCs/>
          <w:color w:val="1F3864"/>
          <w:sz w:val="24"/>
          <w:szCs w:val="24"/>
        </w:rPr>
        <w:t xml:space="preserve">4.6 Tax Reports</w:t>
      </w:r>
    </w:p>
    <w:p>
      <w:pPr>
        <w:pStyle w:val="ListParagraph"/>
        <w:numPr>
          <w:ilvl w:val="0"/>
          <w:numId w:val="2"/>
        </w:numPr>
        <w:spacing w:after="90" w:line="276"/>
      </w:pPr>
      <w:r>
        <w:rPr>
          <w:color w:val="262626"/>
          <w:sz w:val="22"/>
          <w:szCs w:val="22"/>
        </w:rPr>
        <w:t xml:space="preserve">Advance Return for Tax on Sales/Purchases — supports periodic VAT/GST return filing by summarizing output and input tax.</w:t>
      </w:r>
    </w:p>
    <w:p>
      <w:pPr>
        <w:pStyle w:val="ListParagraph"/>
        <w:numPr>
          <w:ilvl w:val="0"/>
          <w:numId w:val="2"/>
        </w:numPr>
        <w:spacing w:after="90" w:line="276"/>
      </w:pPr>
      <w:r>
        <w:rPr>
          <w:color w:val="262626"/>
          <w:sz w:val="22"/>
          <w:szCs w:val="22"/>
        </w:rPr>
        <w:t xml:space="preserve">Withholding Tax Reports — track tax withheld on vendor or customer payments for statutory certificates and filings.</w:t>
      </w:r>
    </w:p>
    <w:p>
      <w:pPr>
        <w:pStyle w:val="ListParagraph"/>
        <w:numPr>
          <w:ilvl w:val="0"/>
          <w:numId w:val="2"/>
        </w:numPr>
        <w:spacing w:after="90" w:line="276"/>
      </w:pPr>
      <w:r>
        <w:rPr>
          <w:color w:val="262626"/>
          <w:sz w:val="22"/>
          <w:szCs w:val="22"/>
        </w:rPr>
        <w:t xml:space="preserve">Use cases: statutory tax compliance and filing, tax audit readiness.</w:t>
      </w:r>
    </w:p>
    <w:p>
      <w:pPr>
        <w:pStyle w:val="Heading1"/>
        <w:pBdr>
          <w:bottom w:val="single" w:color="B8860B" w:sz="8" w:space="4"/>
        </w:pBdr>
        <w:spacing w:after="160" w:before="360"/>
      </w:pPr>
      <w:r>
        <w:rPr>
          <w:b/>
          <w:bCs/>
          <w:color w:val="1F3864"/>
          <w:sz w:val="28"/>
          <w:szCs w:val="28"/>
        </w:rPr>
        <w:t xml:space="preserve">5. Controlling (CO) Reports</w:t>
      </w:r>
    </w:p>
    <w:p>
      <w:pPr>
        <w:spacing w:after="160" w:line="288"/>
        <w:jc w:val="both"/>
      </w:pPr>
      <w:r>
        <w:rPr>
          <w:color w:val="262626"/>
          <w:sz w:val="22"/>
          <w:szCs w:val="22"/>
        </w:rPr>
        <w:t xml:space="preserve">Where FI reports look outward to regulators and external stakeholders, CO reports look inward — they help managers plan, monitor, and control costs and profitability within the business.</w:t>
      </w:r>
    </w:p>
    <w:p>
      <w:pPr>
        <w:pStyle w:val="Heading2"/>
        <w:spacing w:after="120" w:before="260"/>
      </w:pPr>
      <w:r>
        <w:rPr>
          <w:b/>
          <w:bCs/>
          <w:color w:val="1F3864"/>
          <w:sz w:val="24"/>
          <w:szCs w:val="24"/>
        </w:rPr>
        <w:t xml:space="preserve">5.1 Cost Center Reports</w:t>
      </w:r>
    </w:p>
    <w:p>
      <w:pPr>
        <w:pStyle w:val="ListParagraph"/>
        <w:numPr>
          <w:ilvl w:val="0"/>
          <w:numId w:val="2"/>
        </w:numPr>
        <w:spacing w:after="90" w:line="276"/>
      </w:pPr>
      <w:r>
        <w:rPr>
          <w:color w:val="262626"/>
          <w:sz w:val="22"/>
          <w:szCs w:val="22"/>
        </w:rPr>
        <w:t xml:space="preserve">Cost Center: Actual/Plan/Variance Report — compares actual spend against budget or plan for each cost center, by cost element.</w:t>
      </w:r>
    </w:p>
    <w:p>
      <w:pPr>
        <w:pStyle w:val="ListParagraph"/>
        <w:numPr>
          <w:ilvl w:val="0"/>
          <w:numId w:val="2"/>
        </w:numPr>
        <w:spacing w:after="90" w:line="276"/>
      </w:pPr>
      <w:r>
        <w:rPr>
          <w:color w:val="262626"/>
          <w:sz w:val="22"/>
          <w:szCs w:val="22"/>
        </w:rPr>
        <w:t xml:space="preserve">Cost Center Line Item Report — the detailed postings behind a cost center's balance (common transaction: KSB1).</w:t>
      </w:r>
    </w:p>
    <w:p>
      <w:pPr>
        <w:pStyle w:val="ListParagraph"/>
        <w:numPr>
          <w:ilvl w:val="0"/>
          <w:numId w:val="2"/>
        </w:numPr>
        <w:spacing w:after="90" w:line="276"/>
      </w:pPr>
      <w:r>
        <w:rPr>
          <w:color w:val="262626"/>
          <w:sz w:val="22"/>
          <w:szCs w:val="22"/>
        </w:rPr>
        <w:t xml:space="preserve">Use cases: departmental budget control, identifying cost overruns early, responsibility accounting.</w:t>
      </w:r>
    </w:p>
    <w:p>
      <w:pPr>
        <w:pStyle w:val="Heading2"/>
        <w:spacing w:after="120" w:before="260"/>
      </w:pPr>
      <w:r>
        <w:rPr>
          <w:b/>
          <w:bCs/>
          <w:color w:val="1F3864"/>
          <w:sz w:val="24"/>
          <w:szCs w:val="24"/>
        </w:rPr>
        <w:t xml:space="preserve">5.2 Profit Center Reports</w:t>
      </w:r>
    </w:p>
    <w:p>
      <w:pPr>
        <w:pStyle w:val="ListParagraph"/>
        <w:numPr>
          <w:ilvl w:val="0"/>
          <w:numId w:val="2"/>
        </w:numPr>
        <w:spacing w:after="90" w:line="276"/>
      </w:pPr>
      <w:r>
        <w:rPr>
          <w:color w:val="262626"/>
          <w:sz w:val="22"/>
          <w:szCs w:val="22"/>
        </w:rPr>
        <w:t xml:space="preserve">Profit Center Group Plan/Actual Report — shows a mini profit-and-loss statement for a business unit, division, or region defined as a profit center.</w:t>
      </w:r>
    </w:p>
    <w:p>
      <w:pPr>
        <w:pStyle w:val="ListParagraph"/>
        <w:numPr>
          <w:ilvl w:val="0"/>
          <w:numId w:val="2"/>
        </w:numPr>
        <w:spacing w:after="90" w:line="276"/>
      </w:pPr>
      <w:r>
        <w:rPr>
          <w:color w:val="262626"/>
          <w:sz w:val="22"/>
          <w:szCs w:val="22"/>
        </w:rPr>
        <w:t xml:space="preserve">Use cases: measuring profitability by internal segment, supporting divisional performance reviews and internal transfer pricing decisions.</w:t>
      </w:r>
    </w:p>
    <w:p>
      <w:pPr>
        <w:pStyle w:val="Heading2"/>
        <w:spacing w:after="120" w:before="260"/>
      </w:pPr>
      <w:r>
        <w:rPr>
          <w:b/>
          <w:bCs/>
          <w:color w:val="1F3864"/>
          <w:sz w:val="24"/>
          <w:szCs w:val="24"/>
        </w:rPr>
        <w:t xml:space="preserve">5.3 Internal Order Reports</w:t>
      </w:r>
    </w:p>
    <w:p>
      <w:pPr>
        <w:pStyle w:val="ListParagraph"/>
        <w:numPr>
          <w:ilvl w:val="0"/>
          <w:numId w:val="2"/>
        </w:numPr>
        <w:spacing w:after="90" w:line="276"/>
      </w:pPr>
      <w:r>
        <w:rPr>
          <w:color w:val="262626"/>
          <w:sz w:val="22"/>
          <w:szCs w:val="22"/>
        </w:rPr>
        <w:t xml:space="preserve">Internal Order: Actual/Plan/Budget Report and Order Line Item Report — track spend against a specific project, marketing campaign, or overhead initiative (common transaction: KOB1).</w:t>
      </w:r>
    </w:p>
    <w:p>
      <w:pPr>
        <w:pStyle w:val="ListParagraph"/>
        <w:numPr>
          <w:ilvl w:val="0"/>
          <w:numId w:val="2"/>
        </w:numPr>
        <w:spacing w:after="90" w:line="276"/>
      </w:pPr>
      <w:r>
        <w:rPr>
          <w:color w:val="262626"/>
          <w:sz w:val="22"/>
          <w:szCs w:val="22"/>
        </w:rPr>
        <w:t xml:space="preserve">Use cases: monitoring capital projects and campaigns, ensuring spend stays within an approved budget envelope.</w:t>
      </w:r>
    </w:p>
    <w:p>
      <w:pPr>
        <w:pStyle w:val="Heading2"/>
        <w:spacing w:after="120" w:before="260"/>
      </w:pPr>
      <w:r>
        <w:rPr>
          <w:b/>
          <w:bCs/>
          <w:color w:val="1F3864"/>
          <w:sz w:val="24"/>
          <w:szCs w:val="24"/>
        </w:rPr>
        <w:t xml:space="preserve">5.4 Product Costing Reports</w:t>
      </w:r>
    </w:p>
    <w:p>
      <w:pPr>
        <w:pStyle w:val="ListParagraph"/>
        <w:numPr>
          <w:ilvl w:val="0"/>
          <w:numId w:val="2"/>
        </w:numPr>
        <w:spacing w:after="90" w:line="276"/>
      </w:pPr>
      <w:r>
        <w:rPr>
          <w:color w:val="262626"/>
          <w:sz w:val="22"/>
          <w:szCs w:val="22"/>
        </w:rPr>
        <w:t xml:space="preserve">Cost Component Report — breaks a product's standard cost down into materials, labor, overhead, and other components.</w:t>
      </w:r>
    </w:p>
    <w:p>
      <w:pPr>
        <w:pStyle w:val="ListParagraph"/>
        <w:numPr>
          <w:ilvl w:val="0"/>
          <w:numId w:val="2"/>
        </w:numPr>
        <w:spacing w:after="90" w:line="276"/>
      </w:pPr>
      <w:r>
        <w:rPr>
          <w:color w:val="262626"/>
          <w:sz w:val="22"/>
          <w:szCs w:val="22"/>
        </w:rPr>
        <w:t xml:space="preserve">Price and Quantity Variance Reports — compare actual manufacturing costs to standard cost to explain the drivers of variance.</w:t>
      </w:r>
    </w:p>
    <w:p>
      <w:pPr>
        <w:pStyle w:val="ListParagraph"/>
        <w:numPr>
          <w:ilvl w:val="0"/>
          <w:numId w:val="2"/>
        </w:numPr>
        <w:spacing w:after="90" w:line="276"/>
      </w:pPr>
      <w:r>
        <w:rPr>
          <w:color w:val="262626"/>
          <w:sz w:val="22"/>
          <w:szCs w:val="22"/>
        </w:rPr>
        <w:t xml:space="preserve">Use cases: manufacturing cost control, standard-cost setting, margin analysis by product.</w:t>
      </w:r>
    </w:p>
    <w:p>
      <w:pPr>
        <w:pStyle w:val="Heading2"/>
        <w:spacing w:after="120" w:before="260"/>
      </w:pPr>
      <w:r>
        <w:rPr>
          <w:b/>
          <w:bCs/>
          <w:color w:val="1F3864"/>
          <w:sz w:val="24"/>
          <w:szCs w:val="24"/>
        </w:rPr>
        <w:t xml:space="preserve">5.5 Profitability Analysis (COPA) Reports</w:t>
      </w:r>
    </w:p>
    <w:p>
      <w:pPr>
        <w:pStyle w:val="ListParagraph"/>
        <w:numPr>
          <w:ilvl w:val="0"/>
          <w:numId w:val="2"/>
        </w:numPr>
        <w:spacing w:after="90" w:line="276"/>
      </w:pPr>
      <w:r>
        <w:rPr>
          <w:color w:val="262626"/>
          <w:sz w:val="22"/>
          <w:szCs w:val="22"/>
        </w:rPr>
        <w:t xml:space="preserve">Contribution Margin / Profitability Reports — show revenue and profitability sliced by dimensions such as product, customer, region, or sales channel (common transactions: KE30, KE24).</w:t>
      </w:r>
    </w:p>
    <w:p>
      <w:pPr>
        <w:pStyle w:val="ListParagraph"/>
        <w:numPr>
          <w:ilvl w:val="0"/>
          <w:numId w:val="2"/>
        </w:numPr>
        <w:spacing w:after="90" w:line="276"/>
      </w:pPr>
      <w:r>
        <w:rPr>
          <w:color w:val="262626"/>
          <w:sz w:val="22"/>
          <w:szCs w:val="22"/>
        </w:rPr>
        <w:t xml:space="preserve">Use cases: product-mix and pricing decisions, customer profitability analysis, sales channel strategy.</w:t>
      </w:r>
    </w:p>
    <w:p>
      <w:pPr>
        <w:pStyle w:val="Heading1"/>
        <w:pBdr>
          <w:bottom w:val="single" w:color="B8860B" w:sz="8" w:space="4"/>
        </w:pBdr>
        <w:spacing w:after="160" w:before="360"/>
      </w:pPr>
      <w:r>
        <w:rPr>
          <w:b/>
          <w:bCs/>
          <w:color w:val="1F3864"/>
          <w:sz w:val="28"/>
          <w:szCs w:val="28"/>
        </w:rPr>
        <w:t xml:space="preserve">6. Summary Table: Key Reports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900"/>
        <w:gridCol w:w="3000"/>
      </w:tblGrid>
      <w:tr>
        <w:trPr>
          <w:tblHeader/>
        </w:trPr>
        <w:tc>
          <w:tcPr>
            <w:tcW w:type="dxa" w:w="2700"/>
            <w:shd w:fill="1F3864" w:color="auto" w:val="clear"/>
            <w:tcMar>
              <w:top w:type="dxa" w:w="100"/>
              <w:left w:type="dxa" w:w="120"/>
              <w:bottom w:type="dxa" w:w="100"/>
              <w:right w:type="dxa" w:w="120"/>
            </w:tcMar>
            <w:vAlign w:val="center"/>
          </w:tcPr>
          <w:p>
            <w:pPr>
              <w:jc w:val="left"/>
            </w:pPr>
            <w:r>
              <w:rPr>
                <w:b/>
                <w:bCs/>
                <w:color w:val="FFFFFF"/>
                <w:sz w:val="20"/>
                <w:szCs w:val="20"/>
              </w:rPr>
              <w:t xml:space="preserve">Report</w:t>
            </w:r>
          </w:p>
        </w:tc>
        <w:tc>
          <w:tcPr>
            <w:tcW w:type="dxa" w:w="1400"/>
            <w:shd w:fill="1F3864" w:color="auto" w:val="clear"/>
            <w:tcMar>
              <w:top w:type="dxa" w:w="100"/>
              <w:left w:type="dxa" w:w="120"/>
              <w:bottom w:type="dxa" w:w="100"/>
              <w:right w:type="dxa" w:w="120"/>
            </w:tcMar>
            <w:vAlign w:val="center"/>
          </w:tcPr>
          <w:p>
            <w:pPr>
              <w:jc w:val="left"/>
            </w:pPr>
            <w:r>
              <w:rPr>
                <w:b/>
                <w:bCs/>
                <w:color w:val="FFFFFF"/>
                <w:sz w:val="20"/>
                <w:szCs w:val="20"/>
              </w:rPr>
              <w:t xml:space="preserve">Module</w:t>
            </w:r>
          </w:p>
        </w:tc>
        <w:tc>
          <w:tcPr>
            <w:tcW w:type="dxa" w:w="1900"/>
            <w:shd w:fill="1F3864" w:color="auto" w:val="clear"/>
            <w:tcMar>
              <w:top w:type="dxa" w:w="100"/>
              <w:left w:type="dxa" w:w="120"/>
              <w:bottom w:type="dxa" w:w="100"/>
              <w:right w:type="dxa" w:w="120"/>
            </w:tcMar>
            <w:vAlign w:val="center"/>
          </w:tcPr>
          <w:p>
            <w:pPr>
              <w:jc w:val="left"/>
            </w:pPr>
            <w:r>
              <w:rPr>
                <w:b/>
                <w:bCs/>
                <w:color w:val="FFFFFF"/>
                <w:sz w:val="20"/>
                <w:szCs w:val="20"/>
              </w:rPr>
              <w:t xml:space="preserve">Example T-code</w:t>
            </w:r>
          </w:p>
        </w:tc>
        <w:tc>
          <w:tcPr>
            <w:tcW w:type="dxa" w:w="3000"/>
            <w:shd w:fill="1F3864" w:color="auto" w:val="clear"/>
            <w:tcMar>
              <w:top w:type="dxa" w:w="100"/>
              <w:left w:type="dxa" w:w="120"/>
              <w:bottom w:type="dxa" w:w="100"/>
              <w:right w:type="dxa" w:w="120"/>
            </w:tcMar>
            <w:vAlign w:val="center"/>
          </w:tcPr>
          <w:p>
            <w:pPr>
              <w:jc w:val="left"/>
            </w:pPr>
            <w:r>
              <w:rPr>
                <w:b/>
                <w:bCs/>
                <w:color w:val="FFFFFF"/>
                <w:sz w:val="20"/>
                <w:szCs w:val="20"/>
              </w:rPr>
              <w:t xml:space="preserve">Primary Use Case</w:t>
            </w:r>
          </w:p>
        </w:tc>
      </w:tr>
      <w:tr>
        <w:tc>
          <w:tcPr>
            <w:tcW w:type="dxa" w:w="2700"/>
            <w:shd w:fill="F2F2F2" w:color="auto" w:val="clear"/>
            <w:tcMar>
              <w:top w:type="dxa" w:w="100"/>
              <w:left w:type="dxa" w:w="120"/>
              <w:bottom w:type="dxa" w:w="100"/>
              <w:right w:type="dxa" w:w="120"/>
            </w:tcMar>
            <w:vAlign w:val="center"/>
          </w:tcPr>
          <w:p>
            <w:r>
              <w:rPr>
                <w:color w:val="262626"/>
                <w:sz w:val="20"/>
                <w:szCs w:val="20"/>
              </w:rPr>
              <w:t xml:space="preserve">Financial Statements (B/S &amp; P&amp;L)</w:t>
            </w:r>
          </w:p>
        </w:tc>
        <w:tc>
          <w:tcPr>
            <w:tcW w:type="dxa" w:w="1400"/>
            <w:shd w:fill="F2F2F2" w:color="auto" w:val="clear"/>
            <w:tcMar>
              <w:top w:type="dxa" w:w="100"/>
              <w:left w:type="dxa" w:w="120"/>
              <w:bottom w:type="dxa" w:w="100"/>
              <w:right w:type="dxa" w:w="120"/>
            </w:tcMar>
            <w:vAlign w:val="center"/>
          </w:tcPr>
          <w:p>
            <w:r>
              <w:rPr>
                <w:color w:val="262626"/>
                <w:sz w:val="20"/>
                <w:szCs w:val="20"/>
              </w:rPr>
              <w:t xml:space="preserve">FI-GL</w:t>
            </w:r>
          </w:p>
        </w:tc>
        <w:tc>
          <w:tcPr>
            <w:tcW w:type="dxa" w:w="1900"/>
            <w:shd w:fill="F2F2F2" w:color="auto" w:val="clear"/>
            <w:tcMar>
              <w:top w:type="dxa" w:w="100"/>
              <w:left w:type="dxa" w:w="120"/>
              <w:bottom w:type="dxa" w:w="100"/>
              <w:right w:type="dxa" w:w="120"/>
            </w:tcMar>
            <w:vAlign w:val="center"/>
          </w:tcPr>
          <w:p>
            <w:r>
              <w:rPr>
                <w:color w:val="262626"/>
                <w:sz w:val="20"/>
                <w:szCs w:val="20"/>
              </w:rPr>
              <w:t xml:space="preserve">F.01</w:t>
            </w:r>
          </w:p>
        </w:tc>
        <w:tc>
          <w:tcPr>
            <w:tcW w:type="dxa" w:w="3000"/>
            <w:shd w:fill="F2F2F2" w:color="auto" w:val="clear"/>
            <w:tcMar>
              <w:top w:type="dxa" w:w="100"/>
              <w:left w:type="dxa" w:w="120"/>
              <w:bottom w:type="dxa" w:w="100"/>
              <w:right w:type="dxa" w:w="120"/>
            </w:tcMar>
            <w:vAlign w:val="center"/>
          </w:tcPr>
          <w:p>
            <w:r>
              <w:rPr>
                <w:color w:val="262626"/>
                <w:sz w:val="20"/>
                <w:szCs w:val="20"/>
              </w:rPr>
              <w:t xml:space="preserve">Statutory reporting, external audit</w:t>
            </w:r>
          </w:p>
        </w:tc>
      </w:tr>
      <w:tr>
        <w:tc>
          <w:tcPr>
            <w:tcW w:type="dxa" w:w="2700"/>
            <w:shd w:fill="FFFFFF" w:color="auto" w:val="clear"/>
            <w:tcMar>
              <w:top w:type="dxa" w:w="100"/>
              <w:left w:type="dxa" w:w="120"/>
              <w:bottom w:type="dxa" w:w="100"/>
              <w:right w:type="dxa" w:w="120"/>
            </w:tcMar>
            <w:vAlign w:val="center"/>
          </w:tcPr>
          <w:p>
            <w:r>
              <w:rPr>
                <w:color w:val="262626"/>
                <w:sz w:val="20"/>
                <w:szCs w:val="20"/>
              </w:rPr>
              <w:t xml:space="preserve">G/L Line Item / Balance Display</w:t>
            </w:r>
          </w:p>
        </w:tc>
        <w:tc>
          <w:tcPr>
            <w:tcW w:type="dxa" w:w="1400"/>
            <w:shd w:fill="FFFFFF" w:color="auto" w:val="clear"/>
            <w:tcMar>
              <w:top w:type="dxa" w:w="100"/>
              <w:left w:type="dxa" w:w="120"/>
              <w:bottom w:type="dxa" w:w="100"/>
              <w:right w:type="dxa" w:w="120"/>
            </w:tcMar>
            <w:vAlign w:val="center"/>
          </w:tcPr>
          <w:p>
            <w:r>
              <w:rPr>
                <w:color w:val="262626"/>
                <w:sz w:val="20"/>
                <w:szCs w:val="20"/>
              </w:rPr>
              <w:t xml:space="preserve">FI-GL</w:t>
            </w:r>
          </w:p>
        </w:tc>
        <w:tc>
          <w:tcPr>
            <w:tcW w:type="dxa" w:w="1900"/>
            <w:shd w:fill="FFFFFF" w:color="auto" w:val="clear"/>
            <w:tcMar>
              <w:top w:type="dxa" w:w="100"/>
              <w:left w:type="dxa" w:w="120"/>
              <w:bottom w:type="dxa" w:w="100"/>
              <w:right w:type="dxa" w:w="120"/>
            </w:tcMar>
            <w:vAlign w:val="center"/>
          </w:tcPr>
          <w:p>
            <w:r>
              <w:rPr>
                <w:color w:val="262626"/>
                <w:sz w:val="20"/>
                <w:szCs w:val="20"/>
              </w:rPr>
              <w:t xml:space="preserve">FBL3N / FS10N</w:t>
            </w:r>
          </w:p>
        </w:tc>
        <w:tc>
          <w:tcPr>
            <w:tcW w:type="dxa" w:w="3000"/>
            <w:shd w:fill="FFFFFF" w:color="auto" w:val="clear"/>
            <w:tcMar>
              <w:top w:type="dxa" w:w="100"/>
              <w:left w:type="dxa" w:w="120"/>
              <w:bottom w:type="dxa" w:w="100"/>
              <w:right w:type="dxa" w:w="120"/>
            </w:tcMar>
            <w:vAlign w:val="center"/>
          </w:tcPr>
          <w:p>
            <w:r>
              <w:rPr>
                <w:color w:val="262626"/>
                <w:sz w:val="20"/>
                <w:szCs w:val="20"/>
              </w:rPr>
              <w:t xml:space="preserve">Account reconciliation, close process</w:t>
            </w:r>
          </w:p>
        </w:tc>
      </w:tr>
      <w:tr>
        <w:tc>
          <w:tcPr>
            <w:tcW w:type="dxa" w:w="2700"/>
            <w:shd w:fill="F2F2F2" w:color="auto" w:val="clear"/>
            <w:tcMar>
              <w:top w:type="dxa" w:w="100"/>
              <w:left w:type="dxa" w:w="120"/>
              <w:bottom w:type="dxa" w:w="100"/>
              <w:right w:type="dxa" w:w="120"/>
            </w:tcMar>
            <w:vAlign w:val="center"/>
          </w:tcPr>
          <w:p>
            <w:r>
              <w:rPr>
                <w:color w:val="262626"/>
                <w:sz w:val="20"/>
                <w:szCs w:val="20"/>
              </w:rPr>
              <w:t xml:space="preserve">Vendor Line Item / Aging</w:t>
            </w:r>
          </w:p>
        </w:tc>
        <w:tc>
          <w:tcPr>
            <w:tcW w:type="dxa" w:w="1400"/>
            <w:shd w:fill="F2F2F2" w:color="auto" w:val="clear"/>
            <w:tcMar>
              <w:top w:type="dxa" w:w="100"/>
              <w:left w:type="dxa" w:w="120"/>
              <w:bottom w:type="dxa" w:w="100"/>
              <w:right w:type="dxa" w:w="120"/>
            </w:tcMar>
            <w:vAlign w:val="center"/>
          </w:tcPr>
          <w:p>
            <w:r>
              <w:rPr>
                <w:color w:val="262626"/>
                <w:sz w:val="20"/>
                <w:szCs w:val="20"/>
              </w:rPr>
              <w:t xml:space="preserve">FI-AP</w:t>
            </w:r>
          </w:p>
        </w:tc>
        <w:tc>
          <w:tcPr>
            <w:tcW w:type="dxa" w:w="1900"/>
            <w:shd w:fill="F2F2F2" w:color="auto" w:val="clear"/>
            <w:tcMar>
              <w:top w:type="dxa" w:w="100"/>
              <w:left w:type="dxa" w:w="120"/>
              <w:bottom w:type="dxa" w:w="100"/>
              <w:right w:type="dxa" w:w="120"/>
            </w:tcMar>
            <w:vAlign w:val="center"/>
          </w:tcPr>
          <w:p>
            <w:r>
              <w:rPr>
                <w:color w:val="262626"/>
                <w:sz w:val="20"/>
                <w:szCs w:val="20"/>
              </w:rPr>
              <w:t xml:space="preserve">FBL1N / FK10N</w:t>
            </w:r>
          </w:p>
        </w:tc>
        <w:tc>
          <w:tcPr>
            <w:tcW w:type="dxa" w:w="3000"/>
            <w:shd w:fill="F2F2F2" w:color="auto" w:val="clear"/>
            <w:tcMar>
              <w:top w:type="dxa" w:w="100"/>
              <w:left w:type="dxa" w:w="120"/>
              <w:bottom w:type="dxa" w:w="100"/>
              <w:right w:type="dxa" w:w="120"/>
            </w:tcMar>
            <w:vAlign w:val="center"/>
          </w:tcPr>
          <w:p>
            <w:r>
              <w:rPr>
                <w:color w:val="262626"/>
                <w:sz w:val="20"/>
                <w:szCs w:val="20"/>
              </w:rPr>
              <w:t xml:space="preserve">Cash outflow planning, DPO analysis</w:t>
            </w:r>
          </w:p>
        </w:tc>
      </w:tr>
      <w:tr>
        <w:tc>
          <w:tcPr>
            <w:tcW w:type="dxa" w:w="2700"/>
            <w:shd w:fill="FFFFFF" w:color="auto" w:val="clear"/>
            <w:tcMar>
              <w:top w:type="dxa" w:w="100"/>
              <w:left w:type="dxa" w:w="120"/>
              <w:bottom w:type="dxa" w:w="100"/>
              <w:right w:type="dxa" w:w="120"/>
            </w:tcMar>
            <w:vAlign w:val="center"/>
          </w:tcPr>
          <w:p>
            <w:r>
              <w:rPr>
                <w:color w:val="262626"/>
                <w:sz w:val="20"/>
                <w:szCs w:val="20"/>
              </w:rPr>
              <w:t xml:space="preserve">Customer Line Item / Aging</w:t>
            </w:r>
          </w:p>
        </w:tc>
        <w:tc>
          <w:tcPr>
            <w:tcW w:type="dxa" w:w="1400"/>
            <w:shd w:fill="FFFFFF" w:color="auto" w:val="clear"/>
            <w:tcMar>
              <w:top w:type="dxa" w:w="100"/>
              <w:left w:type="dxa" w:w="120"/>
              <w:bottom w:type="dxa" w:w="100"/>
              <w:right w:type="dxa" w:w="120"/>
            </w:tcMar>
            <w:vAlign w:val="center"/>
          </w:tcPr>
          <w:p>
            <w:r>
              <w:rPr>
                <w:color w:val="262626"/>
                <w:sz w:val="20"/>
                <w:szCs w:val="20"/>
              </w:rPr>
              <w:t xml:space="preserve">FI-AR</w:t>
            </w:r>
          </w:p>
        </w:tc>
        <w:tc>
          <w:tcPr>
            <w:tcW w:type="dxa" w:w="1900"/>
            <w:shd w:fill="FFFFFF" w:color="auto" w:val="clear"/>
            <w:tcMar>
              <w:top w:type="dxa" w:w="100"/>
              <w:left w:type="dxa" w:w="120"/>
              <w:bottom w:type="dxa" w:w="100"/>
              <w:right w:type="dxa" w:w="120"/>
            </w:tcMar>
            <w:vAlign w:val="center"/>
          </w:tcPr>
          <w:p>
            <w:r>
              <w:rPr>
                <w:color w:val="262626"/>
                <w:sz w:val="20"/>
                <w:szCs w:val="20"/>
              </w:rPr>
              <w:t xml:space="preserve">FBL5N / FD10N</w:t>
            </w:r>
          </w:p>
        </w:tc>
        <w:tc>
          <w:tcPr>
            <w:tcW w:type="dxa" w:w="3000"/>
            <w:shd w:fill="FFFFFF" w:color="auto" w:val="clear"/>
            <w:tcMar>
              <w:top w:type="dxa" w:w="100"/>
              <w:left w:type="dxa" w:w="120"/>
              <w:bottom w:type="dxa" w:w="100"/>
              <w:right w:type="dxa" w:w="120"/>
            </w:tcMar>
            <w:vAlign w:val="center"/>
          </w:tcPr>
          <w:p>
            <w:r>
              <w:rPr>
                <w:color w:val="262626"/>
                <w:sz w:val="20"/>
                <w:szCs w:val="20"/>
              </w:rPr>
              <w:t xml:space="preserve">Collections, credit risk, DSO analysis</w:t>
            </w:r>
          </w:p>
        </w:tc>
      </w:tr>
      <w:tr>
        <w:tc>
          <w:tcPr>
            <w:tcW w:type="dxa" w:w="2700"/>
            <w:shd w:fill="F2F2F2" w:color="auto" w:val="clear"/>
            <w:tcMar>
              <w:top w:type="dxa" w:w="100"/>
              <w:left w:type="dxa" w:w="120"/>
              <w:bottom w:type="dxa" w:w="100"/>
              <w:right w:type="dxa" w:w="120"/>
            </w:tcMar>
            <w:vAlign w:val="center"/>
          </w:tcPr>
          <w:p>
            <w:r>
              <w:rPr>
                <w:color w:val="262626"/>
                <w:sz w:val="20"/>
                <w:szCs w:val="20"/>
              </w:rPr>
              <w:t xml:space="preserve">Asset History Sheet / Explorer</w:t>
            </w:r>
          </w:p>
        </w:tc>
        <w:tc>
          <w:tcPr>
            <w:tcW w:type="dxa" w:w="1400"/>
            <w:shd w:fill="F2F2F2" w:color="auto" w:val="clear"/>
            <w:tcMar>
              <w:top w:type="dxa" w:w="100"/>
              <w:left w:type="dxa" w:w="120"/>
              <w:bottom w:type="dxa" w:w="100"/>
              <w:right w:type="dxa" w:w="120"/>
            </w:tcMar>
            <w:vAlign w:val="center"/>
          </w:tcPr>
          <w:p>
            <w:r>
              <w:rPr>
                <w:color w:val="262626"/>
                <w:sz w:val="20"/>
                <w:szCs w:val="20"/>
              </w:rPr>
              <w:t xml:space="preserve">FI-AA</w:t>
            </w:r>
          </w:p>
        </w:tc>
        <w:tc>
          <w:tcPr>
            <w:tcW w:type="dxa" w:w="1900"/>
            <w:shd w:fill="F2F2F2" w:color="auto" w:val="clear"/>
            <w:tcMar>
              <w:top w:type="dxa" w:w="100"/>
              <w:left w:type="dxa" w:w="120"/>
              <w:bottom w:type="dxa" w:w="100"/>
              <w:right w:type="dxa" w:w="120"/>
            </w:tcMar>
            <w:vAlign w:val="center"/>
          </w:tcPr>
          <w:p>
            <w:r>
              <w:rPr>
                <w:color w:val="262626"/>
                <w:sz w:val="20"/>
                <w:szCs w:val="20"/>
              </w:rPr>
              <w:t xml:space="preserve">AW01N</w:t>
            </w:r>
          </w:p>
        </w:tc>
        <w:tc>
          <w:tcPr>
            <w:tcW w:type="dxa" w:w="3000"/>
            <w:shd w:fill="F2F2F2" w:color="auto" w:val="clear"/>
            <w:tcMar>
              <w:top w:type="dxa" w:w="100"/>
              <w:left w:type="dxa" w:w="120"/>
              <w:bottom w:type="dxa" w:w="100"/>
              <w:right w:type="dxa" w:w="120"/>
            </w:tcMar>
            <w:vAlign w:val="center"/>
          </w:tcPr>
          <w:p>
            <w:r>
              <w:rPr>
                <w:color w:val="262626"/>
                <w:sz w:val="20"/>
                <w:szCs w:val="20"/>
              </w:rPr>
              <w:t xml:space="preserve">Capex tracking, depreciation planning</w:t>
            </w:r>
          </w:p>
        </w:tc>
      </w:tr>
      <w:tr>
        <w:tc>
          <w:tcPr>
            <w:tcW w:type="dxa" w:w="2700"/>
            <w:shd w:fill="FFFFFF" w:color="auto" w:val="clear"/>
            <w:tcMar>
              <w:top w:type="dxa" w:w="100"/>
              <w:left w:type="dxa" w:w="120"/>
              <w:bottom w:type="dxa" w:w="100"/>
              <w:right w:type="dxa" w:w="120"/>
            </w:tcMar>
            <w:vAlign w:val="center"/>
          </w:tcPr>
          <w:p>
            <w:r>
              <w:rPr>
                <w:color w:val="262626"/>
                <w:sz w:val="20"/>
                <w:szCs w:val="20"/>
              </w:rPr>
              <w:t xml:space="preserve">Bank Reconciliation Statement</w:t>
            </w:r>
          </w:p>
        </w:tc>
        <w:tc>
          <w:tcPr>
            <w:tcW w:type="dxa" w:w="1400"/>
            <w:shd w:fill="FFFFFF" w:color="auto" w:val="clear"/>
            <w:tcMar>
              <w:top w:type="dxa" w:w="100"/>
              <w:left w:type="dxa" w:w="120"/>
              <w:bottom w:type="dxa" w:w="100"/>
              <w:right w:type="dxa" w:w="120"/>
            </w:tcMar>
            <w:vAlign w:val="center"/>
          </w:tcPr>
          <w:p>
            <w:r>
              <w:rPr>
                <w:color w:val="262626"/>
                <w:sz w:val="20"/>
                <w:szCs w:val="20"/>
              </w:rPr>
              <w:t xml:space="preserve">FI-BL</w:t>
            </w:r>
          </w:p>
        </w:tc>
        <w:tc>
          <w:tcPr>
            <w:tcW w:type="dxa" w:w="1900"/>
            <w:shd w:fill="FFFFFF" w:color="auto" w:val="clear"/>
            <w:tcMar>
              <w:top w:type="dxa" w:w="100"/>
              <w:left w:type="dxa" w:w="120"/>
              <w:bottom w:type="dxa" w:w="100"/>
              <w:right w:type="dxa" w:w="120"/>
            </w:tcMar>
            <w:vAlign w:val="center"/>
          </w:tcPr>
          <w:p>
            <w:r>
              <w:rPr>
                <w:color w:val="262626"/>
                <w:sz w:val="20"/>
                <w:szCs w:val="20"/>
              </w:rPr>
              <w:t xml:space="preserve">—</w:t>
            </w:r>
          </w:p>
        </w:tc>
        <w:tc>
          <w:tcPr>
            <w:tcW w:type="dxa" w:w="3000"/>
            <w:shd w:fill="FFFFFF" w:color="auto" w:val="clear"/>
            <w:tcMar>
              <w:top w:type="dxa" w:w="100"/>
              <w:left w:type="dxa" w:w="120"/>
              <w:bottom w:type="dxa" w:w="100"/>
              <w:right w:type="dxa" w:w="120"/>
            </w:tcMar>
            <w:vAlign w:val="center"/>
          </w:tcPr>
          <w:p>
            <w:r>
              <w:rPr>
                <w:color w:val="262626"/>
                <w:sz w:val="20"/>
                <w:szCs w:val="20"/>
              </w:rPr>
              <w:t xml:space="preserve">Treasury and liquidity management</w:t>
            </w:r>
          </w:p>
        </w:tc>
      </w:tr>
      <w:tr>
        <w:tc>
          <w:tcPr>
            <w:tcW w:type="dxa" w:w="2700"/>
            <w:shd w:fill="F2F2F2" w:color="auto" w:val="clear"/>
            <w:tcMar>
              <w:top w:type="dxa" w:w="100"/>
              <w:left w:type="dxa" w:w="120"/>
              <w:bottom w:type="dxa" w:w="100"/>
              <w:right w:type="dxa" w:w="120"/>
            </w:tcMar>
            <w:vAlign w:val="center"/>
          </w:tcPr>
          <w:p>
            <w:r>
              <w:rPr>
                <w:color w:val="262626"/>
                <w:sz w:val="20"/>
                <w:szCs w:val="20"/>
              </w:rPr>
              <w:t xml:space="preserve">Cost Center Actual/Plan/Variance</w:t>
            </w:r>
          </w:p>
        </w:tc>
        <w:tc>
          <w:tcPr>
            <w:tcW w:type="dxa" w:w="1400"/>
            <w:shd w:fill="F2F2F2" w:color="auto" w:val="clear"/>
            <w:tcMar>
              <w:top w:type="dxa" w:w="100"/>
              <w:left w:type="dxa" w:w="120"/>
              <w:bottom w:type="dxa" w:w="100"/>
              <w:right w:type="dxa" w:w="120"/>
            </w:tcMar>
            <w:vAlign w:val="center"/>
          </w:tcPr>
          <w:p>
            <w:r>
              <w:rPr>
                <w:color w:val="262626"/>
                <w:sz w:val="20"/>
                <w:szCs w:val="20"/>
              </w:rPr>
              <w:t xml:space="preserve">CO-CCA</w:t>
            </w:r>
          </w:p>
        </w:tc>
        <w:tc>
          <w:tcPr>
            <w:tcW w:type="dxa" w:w="1900"/>
            <w:shd w:fill="F2F2F2" w:color="auto" w:val="clear"/>
            <w:tcMar>
              <w:top w:type="dxa" w:w="100"/>
              <w:left w:type="dxa" w:w="120"/>
              <w:bottom w:type="dxa" w:w="100"/>
              <w:right w:type="dxa" w:w="120"/>
            </w:tcMar>
            <w:vAlign w:val="center"/>
          </w:tcPr>
          <w:p>
            <w:r>
              <w:rPr>
                <w:color w:val="262626"/>
                <w:sz w:val="20"/>
                <w:szCs w:val="20"/>
              </w:rPr>
              <w:t xml:space="preserve">S_ALR_87013611*</w:t>
            </w:r>
          </w:p>
        </w:tc>
        <w:tc>
          <w:tcPr>
            <w:tcW w:type="dxa" w:w="3000"/>
            <w:shd w:fill="F2F2F2" w:color="auto" w:val="clear"/>
            <w:tcMar>
              <w:top w:type="dxa" w:w="100"/>
              <w:left w:type="dxa" w:w="120"/>
              <w:bottom w:type="dxa" w:w="100"/>
              <w:right w:type="dxa" w:w="120"/>
            </w:tcMar>
            <w:vAlign w:val="center"/>
          </w:tcPr>
          <w:p>
            <w:r>
              <w:rPr>
                <w:color w:val="262626"/>
                <w:sz w:val="20"/>
                <w:szCs w:val="20"/>
              </w:rPr>
              <w:t xml:space="preserve">Departmental budget control</w:t>
            </w:r>
          </w:p>
        </w:tc>
      </w:tr>
      <w:tr>
        <w:tc>
          <w:tcPr>
            <w:tcW w:type="dxa" w:w="2700"/>
            <w:shd w:fill="FFFFFF" w:color="auto" w:val="clear"/>
            <w:tcMar>
              <w:top w:type="dxa" w:w="100"/>
              <w:left w:type="dxa" w:w="120"/>
              <w:bottom w:type="dxa" w:w="100"/>
              <w:right w:type="dxa" w:w="120"/>
            </w:tcMar>
            <w:vAlign w:val="center"/>
          </w:tcPr>
          <w:p>
            <w:r>
              <w:rPr>
                <w:color w:val="262626"/>
                <w:sz w:val="20"/>
                <w:szCs w:val="20"/>
              </w:rPr>
              <w:t xml:space="preserve">Profit Center Report</w:t>
            </w:r>
          </w:p>
        </w:tc>
        <w:tc>
          <w:tcPr>
            <w:tcW w:type="dxa" w:w="1400"/>
            <w:shd w:fill="FFFFFF" w:color="auto" w:val="clear"/>
            <w:tcMar>
              <w:top w:type="dxa" w:w="100"/>
              <w:left w:type="dxa" w:w="120"/>
              <w:bottom w:type="dxa" w:w="100"/>
              <w:right w:type="dxa" w:w="120"/>
            </w:tcMar>
            <w:vAlign w:val="center"/>
          </w:tcPr>
          <w:p>
            <w:r>
              <w:rPr>
                <w:color w:val="262626"/>
                <w:sz w:val="20"/>
                <w:szCs w:val="20"/>
              </w:rPr>
              <w:t xml:space="preserve">CO-PCA</w:t>
            </w:r>
          </w:p>
        </w:tc>
        <w:tc>
          <w:tcPr>
            <w:tcW w:type="dxa" w:w="1900"/>
            <w:shd w:fill="FFFFFF" w:color="auto" w:val="clear"/>
            <w:tcMar>
              <w:top w:type="dxa" w:w="100"/>
              <w:left w:type="dxa" w:w="120"/>
              <w:bottom w:type="dxa" w:w="100"/>
              <w:right w:type="dxa" w:w="120"/>
            </w:tcMar>
            <w:vAlign w:val="center"/>
          </w:tcPr>
          <w:p>
            <w:r>
              <w:rPr>
                <w:color w:val="262626"/>
                <w:sz w:val="20"/>
                <w:szCs w:val="20"/>
              </w:rPr>
              <w:t xml:space="preserve">—</w:t>
            </w:r>
          </w:p>
        </w:tc>
        <w:tc>
          <w:tcPr>
            <w:tcW w:type="dxa" w:w="3000"/>
            <w:shd w:fill="FFFFFF" w:color="auto" w:val="clear"/>
            <w:tcMar>
              <w:top w:type="dxa" w:w="100"/>
              <w:left w:type="dxa" w:w="120"/>
              <w:bottom w:type="dxa" w:w="100"/>
              <w:right w:type="dxa" w:w="120"/>
            </w:tcMar>
            <w:vAlign w:val="center"/>
          </w:tcPr>
          <w:p>
            <w:r>
              <w:rPr>
                <w:color w:val="262626"/>
                <w:sz w:val="20"/>
                <w:szCs w:val="20"/>
              </w:rPr>
              <w:t xml:space="preserve">Divisional/segment profitability</w:t>
            </w:r>
          </w:p>
        </w:tc>
      </w:tr>
      <w:tr>
        <w:tc>
          <w:tcPr>
            <w:tcW w:type="dxa" w:w="2700"/>
            <w:shd w:fill="F2F2F2" w:color="auto" w:val="clear"/>
            <w:tcMar>
              <w:top w:type="dxa" w:w="100"/>
              <w:left w:type="dxa" w:w="120"/>
              <w:bottom w:type="dxa" w:w="100"/>
              <w:right w:type="dxa" w:w="120"/>
            </w:tcMar>
            <w:vAlign w:val="center"/>
          </w:tcPr>
          <w:p>
            <w:r>
              <w:rPr>
                <w:color w:val="262626"/>
                <w:sz w:val="20"/>
                <w:szCs w:val="20"/>
              </w:rPr>
              <w:t xml:space="preserve">Internal Order Report</w:t>
            </w:r>
          </w:p>
        </w:tc>
        <w:tc>
          <w:tcPr>
            <w:tcW w:type="dxa" w:w="1400"/>
            <w:shd w:fill="F2F2F2" w:color="auto" w:val="clear"/>
            <w:tcMar>
              <w:top w:type="dxa" w:w="100"/>
              <w:left w:type="dxa" w:w="120"/>
              <w:bottom w:type="dxa" w:w="100"/>
              <w:right w:type="dxa" w:w="120"/>
            </w:tcMar>
            <w:vAlign w:val="center"/>
          </w:tcPr>
          <w:p>
            <w:r>
              <w:rPr>
                <w:color w:val="262626"/>
                <w:sz w:val="20"/>
                <w:szCs w:val="20"/>
              </w:rPr>
              <w:t xml:space="preserve">CO-IO</w:t>
            </w:r>
          </w:p>
        </w:tc>
        <w:tc>
          <w:tcPr>
            <w:tcW w:type="dxa" w:w="1900"/>
            <w:shd w:fill="F2F2F2" w:color="auto" w:val="clear"/>
            <w:tcMar>
              <w:top w:type="dxa" w:w="100"/>
              <w:left w:type="dxa" w:w="120"/>
              <w:bottom w:type="dxa" w:w="100"/>
              <w:right w:type="dxa" w:w="120"/>
            </w:tcMar>
            <w:vAlign w:val="center"/>
          </w:tcPr>
          <w:p>
            <w:r>
              <w:rPr>
                <w:color w:val="262626"/>
                <w:sz w:val="20"/>
                <w:szCs w:val="20"/>
              </w:rPr>
              <w:t xml:space="preserve">KOB1</w:t>
            </w:r>
          </w:p>
        </w:tc>
        <w:tc>
          <w:tcPr>
            <w:tcW w:type="dxa" w:w="3000"/>
            <w:shd w:fill="F2F2F2" w:color="auto" w:val="clear"/>
            <w:tcMar>
              <w:top w:type="dxa" w:w="100"/>
              <w:left w:type="dxa" w:w="120"/>
              <w:bottom w:type="dxa" w:w="100"/>
              <w:right w:type="dxa" w:w="120"/>
            </w:tcMar>
            <w:vAlign w:val="center"/>
          </w:tcPr>
          <w:p>
            <w:r>
              <w:rPr>
                <w:color w:val="262626"/>
                <w:sz w:val="20"/>
                <w:szCs w:val="20"/>
              </w:rPr>
              <w:t xml:space="preserve">Project/campaign budget monitoring</w:t>
            </w:r>
          </w:p>
        </w:tc>
      </w:tr>
      <w:tr>
        <w:tc>
          <w:tcPr>
            <w:tcW w:type="dxa" w:w="2700"/>
            <w:shd w:fill="FFFFFF" w:color="auto" w:val="clear"/>
            <w:tcMar>
              <w:top w:type="dxa" w:w="100"/>
              <w:left w:type="dxa" w:w="120"/>
              <w:bottom w:type="dxa" w:w="100"/>
              <w:right w:type="dxa" w:w="120"/>
            </w:tcMar>
            <w:vAlign w:val="center"/>
          </w:tcPr>
          <w:p>
            <w:r>
              <w:rPr>
                <w:color w:val="262626"/>
                <w:sz w:val="20"/>
                <w:szCs w:val="20"/>
              </w:rPr>
              <w:t xml:space="preserve">COPA Profitability Report</w:t>
            </w:r>
          </w:p>
        </w:tc>
        <w:tc>
          <w:tcPr>
            <w:tcW w:type="dxa" w:w="1400"/>
            <w:shd w:fill="FFFFFF" w:color="auto" w:val="clear"/>
            <w:tcMar>
              <w:top w:type="dxa" w:w="100"/>
              <w:left w:type="dxa" w:w="120"/>
              <w:bottom w:type="dxa" w:w="100"/>
              <w:right w:type="dxa" w:w="120"/>
            </w:tcMar>
            <w:vAlign w:val="center"/>
          </w:tcPr>
          <w:p>
            <w:r>
              <w:rPr>
                <w:color w:val="262626"/>
                <w:sz w:val="20"/>
                <w:szCs w:val="20"/>
              </w:rPr>
              <w:t xml:space="preserve">CO-PA</w:t>
            </w:r>
          </w:p>
        </w:tc>
        <w:tc>
          <w:tcPr>
            <w:tcW w:type="dxa" w:w="1900"/>
            <w:shd w:fill="FFFFFF" w:color="auto" w:val="clear"/>
            <w:tcMar>
              <w:top w:type="dxa" w:w="100"/>
              <w:left w:type="dxa" w:w="120"/>
              <w:bottom w:type="dxa" w:w="100"/>
              <w:right w:type="dxa" w:w="120"/>
            </w:tcMar>
            <w:vAlign w:val="center"/>
          </w:tcPr>
          <w:p>
            <w:r>
              <w:rPr>
                <w:color w:val="262626"/>
                <w:sz w:val="20"/>
                <w:szCs w:val="20"/>
              </w:rPr>
              <w:t xml:space="preserve">KE30 / KE24</w:t>
            </w:r>
          </w:p>
        </w:tc>
        <w:tc>
          <w:tcPr>
            <w:tcW w:type="dxa" w:w="3000"/>
            <w:shd w:fill="FFFFFF" w:color="auto" w:val="clear"/>
            <w:tcMar>
              <w:top w:type="dxa" w:w="100"/>
              <w:left w:type="dxa" w:w="120"/>
              <w:bottom w:type="dxa" w:w="100"/>
              <w:right w:type="dxa" w:w="120"/>
            </w:tcMar>
            <w:vAlign w:val="center"/>
          </w:tcPr>
          <w:p>
            <w:r>
              <w:rPr>
                <w:color w:val="262626"/>
                <w:sz w:val="20"/>
                <w:szCs w:val="20"/>
              </w:rPr>
              <w:t xml:space="preserve">Product/customer profitability, pricing</w:t>
            </w:r>
          </w:p>
        </w:tc>
      </w:tr>
    </w:tbl>
    <w:p>
      <w:pPr>
        <w:spacing w:after="240" w:before="60"/>
      </w:pPr>
      <w:r>
        <w:rPr>
          <w:i/>
          <w:iCs/>
          <w:color w:val="595959"/>
          <w:sz w:val="18"/>
          <w:szCs w:val="18"/>
        </w:rPr>
        <w:t xml:space="preserve">*Standard report transaction codes are illustrative examples commonly used in FICO training and practice; exact codes can vary slightly by SAP version and client configuration.</w:t>
      </w:r>
    </w:p>
    <w:p>
      <w:pPr>
        <w:pStyle w:val="Heading1"/>
        <w:pBdr>
          <w:bottom w:val="single" w:color="B8860B" w:sz="8" w:space="4"/>
        </w:pBdr>
        <w:spacing w:after="160" w:before="360"/>
      </w:pPr>
      <w:r>
        <w:rPr>
          <w:b/>
          <w:bCs/>
          <w:color w:val="1F3864"/>
          <w:sz w:val="28"/>
          <w:szCs w:val="28"/>
        </w:rPr>
        <w:t xml:space="preserve">7. Benefits of SAP FICO Reporting</w:t>
      </w:r>
    </w:p>
    <w:p>
      <w:pPr>
        <w:pStyle w:val="ListParagraph"/>
        <w:numPr>
          <w:ilvl w:val="0"/>
          <w:numId w:val="2"/>
        </w:numPr>
        <w:spacing w:after="90" w:line="276"/>
      </w:pPr>
      <w:r>
        <w:rPr>
          <w:color w:val="262626"/>
          <w:sz w:val="22"/>
          <w:szCs w:val="22"/>
        </w:rPr>
        <w:t xml:space="preserve">Single source of truth: All reports are generated from the same underlying postings, so Finance, Controlling, and operational teams work from one consistent set of numbers.</w:t>
      </w:r>
    </w:p>
    <w:p>
      <w:pPr>
        <w:pStyle w:val="ListParagraph"/>
        <w:numPr>
          <w:ilvl w:val="0"/>
          <w:numId w:val="2"/>
        </w:numPr>
        <w:spacing w:after="90" w:line="276"/>
      </w:pPr>
      <w:r>
        <w:rPr>
          <w:color w:val="262626"/>
          <w:sz w:val="22"/>
          <w:szCs w:val="22"/>
        </w:rPr>
        <w:t xml:space="preserve">Real-time or near-real-time data: Especially in S/4HANA, reports reflect the latest postings instantly rather than relying on overnight batch jobs or manual spreadsheet consolidation.</w:t>
      </w:r>
    </w:p>
    <w:p>
      <w:pPr>
        <w:pStyle w:val="ListParagraph"/>
        <w:numPr>
          <w:ilvl w:val="0"/>
          <w:numId w:val="2"/>
        </w:numPr>
        <w:spacing w:after="90" w:line="276"/>
      </w:pPr>
      <w:r>
        <w:rPr>
          <w:color w:val="262626"/>
          <w:sz w:val="22"/>
          <w:szCs w:val="22"/>
        </w:rPr>
        <w:t xml:space="preserve">Drill-down and traceability: Users can move from a summary figure down to the individual journal entry or source document, strengthening internal controls and audit readiness.</w:t>
      </w:r>
    </w:p>
    <w:p>
      <w:pPr>
        <w:pStyle w:val="ListParagraph"/>
        <w:numPr>
          <w:ilvl w:val="0"/>
          <w:numId w:val="2"/>
        </w:numPr>
        <w:spacing w:after="90" w:line="276"/>
      </w:pPr>
      <w:r>
        <w:rPr>
          <w:color w:val="262626"/>
          <w:sz w:val="22"/>
          <w:szCs w:val="22"/>
        </w:rPr>
        <w:t xml:space="preserve">Reduced manual effort: Standard and custom reports replace error-prone, spreadsheet-based reporting processes, freeing up the finance team's time for analysis rather than data assembly.</w:t>
      </w:r>
    </w:p>
    <w:p>
      <w:pPr>
        <w:pStyle w:val="ListParagraph"/>
        <w:numPr>
          <w:ilvl w:val="0"/>
          <w:numId w:val="2"/>
        </w:numPr>
        <w:spacing w:after="90" w:line="276"/>
      </w:pPr>
      <w:r>
        <w:rPr>
          <w:color w:val="262626"/>
          <w:sz w:val="22"/>
          <w:szCs w:val="22"/>
        </w:rPr>
        <w:t xml:space="preserve">Faster period-end close: Automated, integrated reporting shortens the time needed to produce financial statements and management packs after period-end.</w:t>
      </w:r>
    </w:p>
    <w:p>
      <w:pPr>
        <w:pStyle w:val="ListParagraph"/>
        <w:numPr>
          <w:ilvl w:val="0"/>
          <w:numId w:val="2"/>
        </w:numPr>
        <w:spacing w:after="90" w:line="276"/>
      </w:pPr>
      <w:r>
        <w:rPr>
          <w:color w:val="262626"/>
          <w:sz w:val="22"/>
          <w:szCs w:val="22"/>
        </w:rPr>
        <w:t xml:space="preserve">Better planning and forecasting: Built-in plan-versus-actual and variance reports make budget control and forecasting a continuous activity rather than a quarterly exercise.</w:t>
      </w:r>
    </w:p>
    <w:p>
      <w:pPr>
        <w:pStyle w:val="ListParagraph"/>
        <w:numPr>
          <w:ilvl w:val="0"/>
          <w:numId w:val="2"/>
        </w:numPr>
        <w:spacing w:after="90" w:line="276"/>
      </w:pPr>
      <w:r>
        <w:rPr>
          <w:color w:val="262626"/>
          <w:sz w:val="22"/>
          <w:szCs w:val="22"/>
        </w:rPr>
        <w:t xml:space="preserve">Scalability across the enterprise: The same report definitions can be applied consistently across company codes, business areas, and countries, supporting growth and acquisitions.</w:t>
      </w:r>
    </w:p>
    <w:p>
      <w:pPr>
        <w:pStyle w:val="ListParagraph"/>
        <w:numPr>
          <w:ilvl w:val="0"/>
          <w:numId w:val="2"/>
        </w:numPr>
        <w:spacing w:after="90" w:line="276"/>
      </w:pPr>
      <w:r>
        <w:rPr>
          <w:color w:val="262626"/>
          <w:sz w:val="22"/>
          <w:szCs w:val="22"/>
        </w:rPr>
        <w:t xml:space="preserve">Stronger compliance posture: Purpose-built statutory and tax reports reduce the risk of filing errors and support faster response to audit or regulatory queries.</w:t>
      </w:r>
    </w:p>
    <w:p>
      <w:pPr>
        <w:pStyle w:val="Heading1"/>
        <w:pBdr>
          <w:bottom w:val="single" w:color="B8860B" w:sz="8" w:space="4"/>
        </w:pBdr>
        <w:spacing w:after="160" w:before="360"/>
      </w:pPr>
      <w:r>
        <w:rPr>
          <w:b/>
          <w:bCs/>
          <w:color w:val="1F3864"/>
          <w:sz w:val="28"/>
          <w:szCs w:val="28"/>
        </w:rPr>
        <w:t xml:space="preserve">8. Conclusion</w:t>
      </w:r>
    </w:p>
    <w:p>
      <w:pPr>
        <w:spacing w:after="160" w:line="288"/>
        <w:jc w:val="both"/>
      </w:pPr>
      <w:r>
        <w:rPr>
          <w:color w:val="262626"/>
          <w:sz w:val="22"/>
          <w:szCs w:val="22"/>
        </w:rPr>
        <w:t xml:space="preserve">SAP FICO reporting is not a single feature but a layered ecosystem — from ready-made standard reports, to flexible Report Painter/Drilldown tools, to modern real-time Fiori analytics in S/4HANA. Financial Accounting reports keep the organization compliant and accurate in the eyes of regulators and auditors, while Controlling reports give managers the internal visibility they need to run the business day to day. Understanding both families of reports, the tools used to build them, and the specific business questions each one answers is a foundational skill for any SAP FICO consultant, and it is this reporting layer that ultimately determines how much value an organization gets out of its investment in SAP FICO.</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SAP FICO Reports</w:t>
    </w:r>
    <w:r>
      <w:rPr>
        <w:color w:val="595959"/>
        <w:sz w:val="16"/>
        <w:szCs w:val="16"/>
      </w:rPr>
      <w:t xml:space="preserve">	Week 4 Internship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2026-09-10T10:30:01.631Z</dcterms:created>
  <dcterms:modified xsi:type="dcterms:W3CDTF">2026-09-10T10:30:01.631Z</dcterms:modified>
</cp:coreProperties>
</file>

<file path=docProps/custom.xml><?xml version="1.0" encoding="utf-8"?>
<Properties xmlns="http://schemas.openxmlformats.org/officeDocument/2006/custom-properties" xmlns:vt="http://schemas.openxmlformats.org/officeDocument/2006/docPropsVTypes"/>
</file>