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TRD — Technical Requirements &amp; Design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Architecture</w:t>
      </w:r>
    </w:p>
    <w:p>
      <w:r>
        <w:t>Two independently deployable applications: frontend/ for the public web application and backend/ for API, orchestration and ML services. Frontend is deployed to a static/serverless-capable host; backend is deployed to Render. Secrets exist only in backend environment configuration.</w:t>
      </w:r>
    </w:p>
    <w:p>
      <w:pPr>
        <w:pStyle w:val="Heading1"/>
      </w:pPr>
      <w:r>
        <w:t>2. Repository Layout</w:t>
      </w:r>
    </w:p>
    <w:p>
      <w:r>
        <w:t>project-root/</w:t>
        <w:br/>
        <w:t>├── frontend/   # Next.js + TypeScript + Tailwind</w:t>
        <w:br/>
        <w:t>├── backend/    # FastAPI + Python</w:t>
        <w:br/>
        <w:t>└── docs/       # Product and engineering specifications</w:t>
      </w:r>
    </w:p>
    <w:p>
      <w:pPr>
        <w:pStyle w:val="Heading1"/>
      </w:pPr>
      <w:r>
        <w:t>3. Logical Architecture</w:t>
      </w:r>
    </w:p>
    <w:p>
      <w:r>
        <w:t>Browser → Frontend → HTTPS API → Security middleware → Auth/API-key middleware → Quota/rate limiter → Detection/Humanization service → Model/provider adapter → Quality/calibration layer → Response.</w:t>
      </w:r>
    </w:p>
    <w:p>
      <w:pPr>
        <w:pStyle w:val="Heading1"/>
      </w:pPr>
      <w:r>
        <w:t>4. Frontend Stack</w:t>
      </w:r>
    </w:p>
    <w:p>
      <w:pPr>
        <w:pStyle w:val="ListBullet"/>
      </w:pPr>
      <w:r>
        <w:t>Next.js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Accessible component system</w:t>
      </w:r>
    </w:p>
    <w:p>
      <w:pPr>
        <w:pStyle w:val="ListBullet"/>
      </w:pPr>
      <w:r>
        <w:t>React Query or equivalent for API state</w:t>
      </w:r>
    </w:p>
    <w:p>
      <w:pPr>
        <w:pStyle w:val="ListBullet"/>
      </w:pPr>
      <w:r>
        <w:t>Zod or equivalent for client validation</w:t>
      </w:r>
    </w:p>
    <w:p>
      <w:pPr>
        <w:pStyle w:val="ListBullet"/>
      </w:pPr>
      <w:r>
        <w:t>Structured metadata and sitemap generation</w:t>
      </w:r>
    </w:p>
    <w:p>
      <w:pPr>
        <w:pStyle w:val="Heading1"/>
      </w:pPr>
      <w:r>
        <w:t>5. Backend Stack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Uvicorn/Gunicorn production runtime</w:t>
      </w:r>
    </w:p>
    <w:p>
      <w:pPr>
        <w:pStyle w:val="ListBullet"/>
      </w:pPr>
      <w:r>
        <w:t>Firebase Admin SDK for authenticated developer operations</w:t>
      </w:r>
    </w:p>
    <w:p>
      <w:pPr>
        <w:pStyle w:val="ListBullet"/>
      </w:pPr>
      <w:r>
        <w:t>Redis-compatible rate limiting where available</w:t>
      </w:r>
    </w:p>
    <w:p>
      <w:pPr>
        <w:pStyle w:val="ListBullet"/>
      </w:pPr>
      <w:r>
        <w:t>PyTorch/Transformers/scikit-learn for ML inference</w:t>
      </w:r>
    </w:p>
    <w:p>
      <w:pPr>
        <w:pStyle w:val="ListBullet"/>
      </w:pPr>
      <w:r>
        <w:t>Provider adapter abstraction for LLM-based humanization</w:t>
      </w:r>
    </w:p>
    <w:p>
      <w:pPr>
        <w:pStyle w:val="Heading1"/>
      </w:pPr>
      <w:r>
        <w:t>6. Data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Firebase Authentication</w:t>
            </w:r>
          </w:p>
        </w:tc>
        <w:tc>
          <w:tcPr>
            <w:tcW w:type="dxa" w:w="4968"/>
          </w:tcPr>
          <w:p>
            <w:r>
              <w:t>Developer identity</w:t>
            </w:r>
          </w:p>
        </w:tc>
      </w:tr>
      <w:tr>
        <w:tc>
          <w:tcPr>
            <w:tcW w:type="dxa" w:w="4968"/>
          </w:tcPr>
          <w:p>
            <w:r>
              <w:t>Firestore</w:t>
            </w:r>
          </w:p>
        </w:tc>
        <w:tc>
          <w:tcPr>
            <w:tcW w:type="dxa" w:w="4968"/>
          </w:tcPr>
          <w:p>
            <w:r>
              <w:t>Users, API key metadata, quotas, usage summaries, settings</w:t>
            </w:r>
          </w:p>
        </w:tc>
      </w:tr>
      <w:tr>
        <w:tc>
          <w:tcPr>
            <w:tcW w:type="dxa" w:w="4968"/>
          </w:tcPr>
          <w:p>
            <w:r>
              <w:t>Redis-compatible store</w:t>
            </w:r>
          </w:p>
        </w:tc>
        <w:tc>
          <w:tcPr>
            <w:tcW w:type="dxa" w:w="4968"/>
          </w:tcPr>
          <w:p>
            <w:r>
              <w:t>Short-window rate limiting and abuse counters</w:t>
            </w:r>
          </w:p>
        </w:tc>
      </w:tr>
      <w:tr>
        <w:tc>
          <w:tcPr>
            <w:tcW w:type="dxa" w:w="4968"/>
          </w:tcPr>
          <w:p>
            <w:r>
              <w:t>Object/model storage</w:t>
            </w:r>
          </w:p>
        </w:tc>
        <w:tc>
          <w:tcPr>
            <w:tcW w:type="dxa" w:w="4968"/>
          </w:tcPr>
          <w:p>
            <w:r>
              <w:t>Versioned ML model artifacts if required</w:t>
            </w:r>
          </w:p>
        </w:tc>
      </w:tr>
    </w:tbl>
    <w:p>
      <w:pPr>
        <w:pStyle w:val="Heading1"/>
      </w:pPr>
      <w:r>
        <w:t>7. API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 /v1/detect</w:t>
            </w:r>
          </w:p>
        </w:tc>
        <w:tc>
          <w:tcPr>
            <w:tcW w:type="dxa" w:w="3312"/>
          </w:tcPr>
          <w:p>
            <w:r>
              <w:t>Public/API key</w:t>
            </w:r>
          </w:p>
        </w:tc>
        <w:tc>
          <w:tcPr>
            <w:tcW w:type="dxa" w:w="3312"/>
          </w:tcPr>
          <w:p>
            <w:r>
              <w:t>AI-writing analysis</w:t>
            </w:r>
          </w:p>
        </w:tc>
      </w:tr>
      <w:tr>
        <w:tc>
          <w:tcPr>
            <w:tcW w:type="dxa" w:w="3312"/>
          </w:tcPr>
          <w:p>
            <w:r>
              <w:t>POST /v1/humanize</w:t>
            </w:r>
          </w:p>
        </w:tc>
        <w:tc>
          <w:tcPr>
            <w:tcW w:type="dxa" w:w="3312"/>
          </w:tcPr>
          <w:p>
            <w:r>
              <w:t>Public/API key</w:t>
            </w:r>
          </w:p>
        </w:tc>
        <w:tc>
          <w:tcPr>
            <w:tcW w:type="dxa" w:w="3312"/>
          </w:tcPr>
          <w:p>
            <w:r>
              <w:t>Semantic-preserving rewrite</w:t>
            </w:r>
          </w:p>
        </w:tc>
      </w:tr>
      <w:tr>
        <w:tc>
          <w:tcPr>
            <w:tcW w:type="dxa" w:w="3312"/>
          </w:tcPr>
          <w:p>
            <w:r>
              <w:t>POST /v1/analyze</w:t>
            </w:r>
          </w:p>
        </w:tc>
        <w:tc>
          <w:tcPr>
            <w:tcW w:type="dxa" w:w="3312"/>
          </w:tcPr>
          <w:p>
            <w:r>
              <w:t>Public/API key</w:t>
            </w:r>
          </w:p>
        </w:tc>
        <w:tc>
          <w:tcPr>
            <w:tcW w:type="dxa" w:w="3312"/>
          </w:tcPr>
          <w:p>
            <w:r>
              <w:t>Combined writing profile</w:t>
            </w:r>
          </w:p>
        </w:tc>
      </w:tr>
      <w:tr>
        <w:tc>
          <w:tcPr>
            <w:tcW w:type="dxa" w:w="3312"/>
          </w:tcPr>
          <w:p>
            <w:r>
              <w:t>GET /v1/usage</w:t>
            </w:r>
          </w:p>
        </w:tc>
        <w:tc>
          <w:tcPr>
            <w:tcW w:type="dxa" w:w="3312"/>
          </w:tcPr>
          <w:p>
            <w:r>
              <w:t>API key</w:t>
            </w:r>
          </w:p>
        </w:tc>
        <w:tc>
          <w:tcPr>
            <w:tcW w:type="dxa" w:w="3312"/>
          </w:tcPr>
          <w:p>
            <w:r>
              <w:t>Developer usage</w:t>
            </w:r>
          </w:p>
        </w:tc>
      </w:tr>
      <w:tr>
        <w:tc>
          <w:tcPr>
            <w:tcW w:type="dxa" w:w="3312"/>
          </w:tcPr>
          <w:p>
            <w:r>
              <w:t>POST /v1/keys</w:t>
            </w:r>
          </w:p>
        </w:tc>
        <w:tc>
          <w:tcPr>
            <w:tcW w:type="dxa" w:w="3312"/>
          </w:tcPr>
          <w:p>
            <w:r>
              <w:t>Firebase-authenticated</w:t>
            </w:r>
          </w:p>
        </w:tc>
        <w:tc>
          <w:tcPr>
            <w:tcW w:type="dxa" w:w="3312"/>
          </w:tcPr>
          <w:p>
            <w:r>
              <w:t>Create API key</w:t>
            </w:r>
          </w:p>
        </w:tc>
      </w:tr>
      <w:tr>
        <w:tc>
          <w:tcPr>
            <w:tcW w:type="dxa" w:w="3312"/>
          </w:tcPr>
          <w:p>
            <w:r>
              <w:t>DELETE /v1/keys/{id}</w:t>
            </w:r>
          </w:p>
        </w:tc>
        <w:tc>
          <w:tcPr>
            <w:tcW w:type="dxa" w:w="3312"/>
          </w:tcPr>
          <w:p>
            <w:r>
              <w:t>Firebase-authenticated</w:t>
            </w:r>
          </w:p>
        </w:tc>
        <w:tc>
          <w:tcPr>
            <w:tcW w:type="dxa" w:w="3312"/>
          </w:tcPr>
          <w:p>
            <w:r>
              <w:t>Revoke API key</w:t>
            </w:r>
          </w:p>
        </w:tc>
      </w:tr>
    </w:tbl>
    <w:p>
      <w:pPr>
        <w:pStyle w:val="Heading1"/>
      </w:pPr>
      <w:r>
        <w:t>8. Security</w:t>
      </w:r>
    </w:p>
    <w:p>
      <w:pPr>
        <w:pStyle w:val="ListBullet"/>
      </w:pPr>
      <w:r>
        <w:t>Strict production CORS allowlist.</w:t>
      </w:r>
    </w:p>
    <w:p>
      <w:pPr>
        <w:pStyle w:val="ListBullet"/>
      </w:pPr>
      <w:r>
        <w:t>HTTPS only in production.</w:t>
      </w:r>
    </w:p>
    <w:p>
      <w:pPr>
        <w:pStyle w:val="ListBullet"/>
      </w:pPr>
      <w:r>
        <w:t>Security headers including CSP where compatible, HSTS, frame-ancestors, X-Content-Type-Options and Referrer-Policy.</w:t>
      </w:r>
    </w:p>
    <w:p>
      <w:pPr>
        <w:pStyle w:val="ListBullet"/>
      </w:pPr>
      <w:r>
        <w:t>Server-side validation for every request.</w:t>
      </w:r>
    </w:p>
    <w:p>
      <w:pPr>
        <w:pStyle w:val="ListBullet"/>
      </w:pPr>
      <w:r>
        <w:t>Maximum body and text-length limits.</w:t>
      </w:r>
    </w:p>
    <w:p>
      <w:pPr>
        <w:pStyle w:val="ListBullet"/>
      </w:pPr>
      <w:r>
        <w:t>API keys stored only as cryptographic hashes; raw secret shown once.</w:t>
      </w:r>
    </w:p>
    <w:p>
      <w:pPr>
        <w:pStyle w:val="ListBullet"/>
      </w:pPr>
      <w:r>
        <w:t>Separate public and authenticated rate-limit buckets.</w:t>
      </w:r>
    </w:p>
    <w:p>
      <w:pPr>
        <w:pStyle w:val="ListBullet"/>
      </w:pPr>
      <w:r>
        <w:t>Timeouts and circuit breakers around external model providers.</w:t>
      </w:r>
    </w:p>
    <w:p>
      <w:pPr>
        <w:pStyle w:val="ListBullet"/>
      </w:pPr>
      <w:r>
        <w:t>Never ship Firebase Admin, model provider or Render secrets to frontend.</w:t>
      </w:r>
    </w:p>
    <w:p>
      <w:pPr>
        <w:pStyle w:val="ListBullet"/>
      </w:pPr>
      <w:r>
        <w:t>Structured audit logs without storing full user text by default.</w:t>
      </w:r>
    </w:p>
    <w:p>
      <w:pPr>
        <w:pStyle w:val="Heading1"/>
      </w:pPr>
      <w:r>
        <w:t>9. Rate Limiting &amp; Quotas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Example control</w:t>
            </w:r>
          </w:p>
        </w:tc>
      </w:tr>
      <w:tr>
        <w:tc>
          <w:tcPr>
            <w:tcW w:type="dxa" w:w="4968"/>
          </w:tcPr>
          <w:p>
            <w:r>
              <w:t>IP</w:t>
            </w:r>
          </w:p>
        </w:tc>
        <w:tc>
          <w:tcPr>
            <w:tcW w:type="dxa" w:w="4968"/>
          </w:tcPr>
          <w:p>
            <w:r>
              <w:t>Burst + rolling-window requests</w:t>
            </w:r>
          </w:p>
        </w:tc>
      </w:tr>
      <w:tr>
        <w:tc>
          <w:tcPr>
            <w:tcW w:type="dxa" w:w="4968"/>
          </w:tcPr>
          <w:p>
            <w:r>
              <w:t>Anonymous session</w:t>
            </w:r>
          </w:p>
        </w:tc>
        <w:tc>
          <w:tcPr>
            <w:tcW w:type="dxa" w:w="4968"/>
          </w:tcPr>
          <w:p>
            <w:r>
              <w:t>Daily detector/humanizer quota</w:t>
            </w:r>
          </w:p>
        </w:tc>
      </w:tr>
      <w:tr>
        <w:tc>
          <w:tcPr>
            <w:tcW w:type="dxa" w:w="4968"/>
          </w:tcPr>
          <w:p>
            <w:r>
              <w:t>API key</w:t>
            </w:r>
          </w:p>
        </w:tc>
        <w:tc>
          <w:tcPr>
            <w:tcW w:type="dxa" w:w="4968"/>
          </w:tcPr>
          <w:p>
            <w:r>
              <w:t>Per-minute and monthly quota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Aggregate account quota</w:t>
            </w:r>
          </w:p>
        </w:tc>
      </w:tr>
      <w:tr>
        <w:tc>
          <w:tcPr>
            <w:tcW w:type="dxa" w:w="4968"/>
          </w:tcPr>
          <w:p>
            <w:r>
              <w:t>Provider</w:t>
            </w:r>
          </w:p>
        </w:tc>
        <w:tc>
          <w:tcPr>
            <w:tcW w:type="dxa" w:w="4968"/>
          </w:tcPr>
          <w:p>
            <w:r>
              <w:t>Concurrency and spend guard</w:t>
            </w:r>
          </w:p>
        </w:tc>
      </w:tr>
    </w:tbl>
    <w:p>
      <w:pPr>
        <w:pStyle w:val="Heading1"/>
      </w:pPr>
      <w:r>
        <w:t>10. Error Contract</w:t>
      </w:r>
    </w:p>
    <w:p>
      <w:r>
        <w:t>JSON errors use stable codes such as INVALID_REQUEST, TEXT_TOO_SHORT, TEXT_TOO_LARGE, RATE_LIMITED, QUOTA_EXCEEDED, MODEL_UNAVAILABLE and INTERNAL_ERROR. Do not leak provider stack traces or secrets.</w:t>
      </w:r>
    </w:p>
    <w:p>
      <w:pPr>
        <w:pStyle w:val="Heading1"/>
      </w:pPr>
      <w:r>
        <w:t>11. Observability</w:t>
      </w:r>
    </w:p>
    <w:p>
      <w:pPr>
        <w:pStyle w:val="ListBullet"/>
      </w:pPr>
      <w:r>
        <w:t>Request IDs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Latency metrics</w:t>
      </w:r>
    </w:p>
    <w:p>
      <w:pPr>
        <w:pStyle w:val="ListBullet"/>
      </w:pPr>
      <w:r>
        <w:t>Model version in inference metadata</w:t>
      </w:r>
    </w:p>
    <w:p>
      <w:pPr>
        <w:pStyle w:val="ListBullet"/>
      </w:pPr>
      <w:r>
        <w:t>Error-rate alerts</w:t>
      </w:r>
    </w:p>
    <w:p>
      <w:pPr>
        <w:pStyle w:val="ListBullet"/>
      </w:pPr>
      <w:r>
        <w:t>Quota/abuse metrics</w:t>
      </w:r>
    </w:p>
    <w:p>
      <w:pPr>
        <w:pStyle w:val="ListBullet"/>
      </w:pPr>
      <w:r>
        <w:t>Health endpoint for Render</w:t>
      </w:r>
    </w:p>
    <w:p>
      <w:pPr>
        <w:pStyle w:val="Heading1"/>
      </w:pPr>
      <w:r>
        <w:t>12. Deployment</w:t>
      </w:r>
    </w:p>
    <w:p>
      <w:r>
        <w:t>Frontend: production environment variables contain only public configuration such as backend base URL and Firebase web configuration where applicable. Backend: all privileged credentials live in Render environment variables/secrets. CI should run linting, tests, type checking and dependency/security checks.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