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Nexus ERP</w:t>
      </w:r>
    </w:p>
    <w:p>
      <w:pPr>
        <w:pStyle w:val="Subtitle"/>
      </w:pPr>
      <w:r>
        <w:t xml:space="preserve">Business Intelligence Platform — Project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D9E3" w:sz="2"/>
              <w:left w:val="single" w:color="D9D9E3" w:sz="2"/>
              <w:bottom w:val="single" w:color="D9D9E3" w:sz="2"/>
              <w:right w:val="single" w:color="D9D9E3" w:sz="2"/>
            </w:tcBorders>
            <w:shd w:fill="EEF2FF" w:val="clear"/>
            <w:tcMar>
              <w:top w:type="dxa" w:w="60"/>
              <w:left w:type="dxa" w:w="100"/>
              <w:bottom w:type="dxa" w:w="60"/>
              <w:right w:type="dxa" w:w="100"/>
            </w:tcMar>
          </w:tcPr>
          <w:p>
            <w:r>
              <w:rPr>
                <w:rFonts w:ascii="Calibri" w:cs="Calibri" w:eastAsia="Calibri" w:hAnsi="Calibri"/>
                <w:b/>
                <w:bCs/>
                <w:color w:val="262626"/>
                <w:sz w:val="17"/>
                <w:szCs w:val="17"/>
              </w:rPr>
              <w:t xml:space="preserve">Prepared By</w:t>
            </w:r>
          </w:p>
        </w:tc>
        <w:tc>
          <w:tcPr>
            <w:tcW w:type="dxa" w:w="2340"/>
            <w:tcBorders>
              <w:top w:val="single" w:color="D9D9E3" w:sz="2"/>
              <w:left w:val="single" w:color="D9D9E3" w:sz="2"/>
              <w:bottom w:val="single" w:color="D9D9E3" w:sz="2"/>
              <w:right w:val="single" w:color="D9D9E3" w:sz="2"/>
            </w:tcBorders>
            <w:tcMar>
              <w:top w:type="dxa" w:w="60"/>
              <w:left w:type="dxa" w:w="100"/>
              <w:bottom w:type="dxa" w:w="60"/>
              <w:right w:type="dxa" w:w="100"/>
            </w:tcMar>
          </w:tcPr>
          <w:p>
            <w:r>
              <w:rPr>
                <w:rFonts w:ascii="Calibri" w:cs="Calibri" w:eastAsia="Calibri" w:hAnsi="Calibri"/>
                <w:b w:val="false"/>
                <w:bCs w:val="false"/>
                <w:color w:val="262626"/>
                <w:sz w:val="17"/>
                <w:szCs w:val="17"/>
              </w:rPr>
              <w:t xml:space="preserve">Shreya Singh</w:t>
            </w:r>
          </w:p>
        </w:tc>
        <w:tc>
          <w:tcPr>
            <w:tcW w:type="dxa" w:w="2340"/>
            <w:tcBorders>
              <w:top w:val="single" w:color="D9D9E3" w:sz="2"/>
              <w:left w:val="single" w:color="D9D9E3" w:sz="2"/>
              <w:bottom w:val="single" w:color="D9D9E3" w:sz="2"/>
              <w:right w:val="single" w:color="D9D9E3" w:sz="2"/>
            </w:tcBorders>
            <w:shd w:fill="EEF2FF" w:val="clear"/>
            <w:tcMar>
              <w:top w:type="dxa" w:w="60"/>
              <w:left w:type="dxa" w:w="100"/>
              <w:bottom w:type="dxa" w:w="60"/>
              <w:right w:type="dxa" w:w="100"/>
            </w:tcMar>
          </w:tcPr>
          <w:p>
            <w:r>
              <w:rPr>
                <w:rFonts w:ascii="Calibri" w:cs="Calibri" w:eastAsia="Calibri" w:hAnsi="Calibri"/>
                <w:b/>
                <w:bCs/>
                <w:color w:val="262626"/>
                <w:sz w:val="17"/>
                <w:szCs w:val="17"/>
              </w:rPr>
              <w:t xml:space="preserve">Capacity</w:t>
            </w:r>
          </w:p>
        </w:tc>
        <w:tc>
          <w:tcPr>
            <w:tcW w:type="dxa" w:w="2340"/>
            <w:tcBorders>
              <w:top w:val="single" w:color="D9D9E3" w:sz="2"/>
              <w:left w:val="single" w:color="D9D9E3" w:sz="2"/>
              <w:bottom w:val="single" w:color="D9D9E3" w:sz="2"/>
              <w:right w:val="single" w:color="D9D9E3" w:sz="2"/>
            </w:tcBorders>
            <w:tcMar>
              <w:top w:type="dxa" w:w="60"/>
              <w:left w:type="dxa" w:w="100"/>
              <w:bottom w:type="dxa" w:w="60"/>
              <w:right w:type="dxa" w:w="100"/>
            </w:tcMar>
          </w:tcPr>
          <w:p>
            <w:r>
              <w:rPr>
                <w:rFonts w:ascii="Calibri" w:cs="Calibri" w:eastAsia="Calibri" w:hAnsi="Calibri"/>
                <w:b w:val="false"/>
                <w:bCs w:val="false"/>
                <w:color w:val="262626"/>
                <w:sz w:val="17"/>
                <w:szCs w:val="17"/>
              </w:rPr>
              <w:t xml:space="preserve">Business Analyst &amp; Product Owner</w:t>
            </w:r>
          </w:p>
        </w:tc>
      </w:tr>
    </w:tbl>
    <w:p>
      <w:pPr>
        <w:spacing w:before="200"/>
      </w:pPr>
    </w:p>
    <w:p>
      <w:pPr>
        <w:pStyle w:val="Heading1"/>
        <w:pBdr>
          <w:bottom w:val="single" w:color="4F46E5" w:sz="6" w:space="3"/>
        </w:pBdr>
        <w:spacing w:after="90" w:before="200"/>
      </w:pPr>
      <w:r>
        <w:t xml:space="preserve">1. Business Context &amp; Objective</w:t>
      </w:r>
    </w:p>
    <w:p>
      <w:pPr>
        <w:spacing w:after="110" w:line="268"/>
        <w:jc w:val="both"/>
      </w:pPr>
      <w:r>
        <w:rPr>
          <w:rFonts w:ascii="Calibri" w:cs="Calibri" w:eastAsia="Calibri" w:hAnsi="Calibri"/>
          <w:color w:val="262626"/>
          <w:sz w:val="19"/>
          <w:szCs w:val="19"/>
        </w:rPr>
        <w:t xml:space="preserve">Most small and growing businesses run their operations across disconnected tools — a sales register here, an inventory notebook there, and financial records maintained separately at month-end. This fragmentation has a direct business cost: leadership cannot see revenue, stock health, or customer value in one place, and decisions get made on instinct rather than evidence. Nexus ERP was scoped as a business case to answer a single question — can a unified, low-cost operations platform give a business owner the same visibility a large enterprise gets from expensive ERP and BI software, without the licensing overhead? The project was approached as a product initiative from the outset: define the user, define the decisions they need to make daily, and build only what serves those decisions.</w:t>
      </w:r>
    </w:p>
    <w:p>
      <w:pPr>
        <w:pStyle w:val="Heading1"/>
        <w:pBdr>
          <w:bottom w:val="single" w:color="4F46E5" w:sz="6" w:space="3"/>
        </w:pBdr>
        <w:spacing w:after="90" w:before="200"/>
      </w:pPr>
      <w:r>
        <w:t xml:space="preserve">2. My Role</w:t>
      </w:r>
    </w:p>
    <w:p>
      <w:pPr>
        <w:spacing w:after="110" w:line="268"/>
        <w:jc w:val="both"/>
      </w:pPr>
      <w:r>
        <w:rPr>
          <w:rFonts w:ascii="Calibri" w:cs="Calibri" w:eastAsia="Calibri" w:hAnsi="Calibri"/>
          <w:color w:val="262626"/>
          <w:sz w:val="19"/>
          <w:szCs w:val="19"/>
        </w:rPr>
        <w:t xml:space="preserve">I led this initiative across both the analytical and delivery tracks. As Business Analyst, I identified the core business entities that needed to be tracked (customers, orders, inventory, cash flow) and translated stakeholder-level questions — which customers matter most, which products are profitable, what will next month look like — into a structured data model and a defined set of KPIs. As Product Owner, I prioritized the build sequence (operational data capture first, analytics and decision-support layered on top), made deliberate trade-off calls when third-party licensing was a constraint, and owned the platform through to a working, demonstrable state.</w:t>
      </w:r>
    </w:p>
    <w:p>
      <w:pPr>
        <w:pStyle w:val="Heading1"/>
        <w:pBdr>
          <w:bottom w:val="single" w:color="4F46E5" w:sz="6" w:space="3"/>
        </w:pBdr>
        <w:spacing w:after="90" w:before="200"/>
      </w:pPr>
      <w:r>
        <w:t xml:space="preserve">3. Platform Walkthrough — What Was Built and Why</w:t>
      </w:r>
    </w:p>
    <w:p>
      <w:pPr>
        <w:pStyle w:val="ListParagraph"/>
        <w:numPr>
          <w:ilvl w:val="0"/>
          <w:numId w:val="2"/>
        </w:numPr>
        <w:spacing w:after="70" w:line="260"/>
      </w:pPr>
      <w:r>
        <w:rPr>
          <w:rFonts w:ascii="Calibri" w:cs="Calibri" w:eastAsia="Calibri" w:hAnsi="Calibri"/>
          <w:b/>
          <w:bCs/>
          <w:sz w:val="19"/>
          <w:szCs w:val="19"/>
        </w:rPr>
        <w:t xml:space="preserve">Secure Sign-In &amp; Onboarding: </w:t>
      </w:r>
      <w:r>
        <w:rPr>
          <w:rFonts w:ascii="Calibri" w:cs="Calibri" w:eastAsia="Calibri" w:hAnsi="Calibri"/>
          <w:sz w:val="19"/>
          <w:szCs w:val="19"/>
        </w:rPr>
        <w:t xml:space="preserve">A login and sign-up flow protects business data behind authenticated access, reflecting the basic data-governance expectation of any operational system handling customer and financial records.</w:t>
      </w:r>
    </w:p>
    <w:p>
      <w:pPr>
        <w:pStyle w:val="ListParagraph"/>
        <w:numPr>
          <w:ilvl w:val="0"/>
          <w:numId w:val="2"/>
        </w:numPr>
        <w:spacing w:after="70" w:line="260"/>
      </w:pPr>
      <w:r>
        <w:rPr>
          <w:rFonts w:ascii="Calibri" w:cs="Calibri" w:eastAsia="Calibri" w:hAnsi="Calibri"/>
          <w:b/>
          <w:bCs/>
          <w:sz w:val="19"/>
          <w:szCs w:val="19"/>
        </w:rPr>
        <w:t xml:space="preserve">Business Dashboard: </w:t>
      </w:r>
      <w:r>
        <w:rPr>
          <w:rFonts w:ascii="Calibri" w:cs="Calibri" w:eastAsia="Calibri" w:hAnsi="Calibri"/>
          <w:sz w:val="19"/>
          <w:szCs w:val="19"/>
        </w:rPr>
        <w:t xml:space="preserve">The landing screen after login, designed to answer how the business is doing right now within seconds. It surfaces top-line KPIs (revenue, orders, active customers, net balance), a quick-access panel to every module, the five most recent orders, and a notifications panel — functioning as a daily check-in screen rather than a static report.</w:t>
      </w:r>
    </w:p>
    <w:p>
      <w:pPr>
        <w:pStyle w:val="ListParagraph"/>
        <w:numPr>
          <w:ilvl w:val="0"/>
          <w:numId w:val="2"/>
        </w:numPr>
        <w:spacing w:after="70" w:line="260"/>
      </w:pPr>
      <w:r>
        <w:rPr>
          <w:rFonts w:ascii="Calibri" w:cs="Calibri" w:eastAsia="Calibri" w:hAnsi="Calibri"/>
          <w:b/>
          <w:bCs/>
          <w:sz w:val="19"/>
          <w:szCs w:val="19"/>
        </w:rPr>
        <w:t xml:space="preserve">Customer Management: </w:t>
      </w:r>
      <w:r>
        <w:rPr>
          <w:rFonts w:ascii="Calibri" w:cs="Calibri" w:eastAsia="Calibri" w:hAnsi="Calibri"/>
          <w:sz w:val="19"/>
          <w:szCs w:val="19"/>
        </w:rPr>
        <w:t xml:space="preserve">A structured customer register replacing the informal contact lists most small businesses rely on, capturing the relationship data needed to support segmentation and retention decisions later in the platform.</w:t>
      </w:r>
    </w:p>
    <w:p>
      <w:pPr>
        <w:pStyle w:val="ListParagraph"/>
        <w:numPr>
          <w:ilvl w:val="0"/>
          <w:numId w:val="2"/>
        </w:numPr>
        <w:spacing w:after="70" w:line="260"/>
      </w:pPr>
      <w:r>
        <w:rPr>
          <w:rFonts w:ascii="Calibri" w:cs="Calibri" w:eastAsia="Calibri" w:hAnsi="Calibri"/>
          <w:b/>
          <w:bCs/>
          <w:sz w:val="19"/>
          <w:szCs w:val="19"/>
        </w:rPr>
        <w:t xml:space="preserve">Inventory Management: </w:t>
      </w:r>
      <w:r>
        <w:rPr>
          <w:rFonts w:ascii="Calibri" w:cs="Calibri" w:eastAsia="Calibri" w:hAnsi="Calibri"/>
          <w:sz w:val="19"/>
          <w:szCs w:val="19"/>
        </w:rPr>
        <w:t xml:space="preserve">Tracks product, category, price, and stock level in one place, with automatic low-stock and out-of-stock flagging — directly addressing the stock-out risk that comes from manual, notebook-based inventory tracking.</w:t>
      </w:r>
    </w:p>
    <w:p>
      <w:pPr>
        <w:pStyle w:val="ListParagraph"/>
        <w:numPr>
          <w:ilvl w:val="0"/>
          <w:numId w:val="2"/>
        </w:numPr>
        <w:spacing w:after="70" w:line="260"/>
      </w:pPr>
      <w:r>
        <w:rPr>
          <w:rFonts w:ascii="Calibri" w:cs="Calibri" w:eastAsia="Calibri" w:hAnsi="Calibri"/>
          <w:b/>
          <w:bCs/>
          <w:sz w:val="19"/>
          <w:szCs w:val="19"/>
        </w:rPr>
        <w:t xml:space="preserve">Sales &amp; Order Management: </w:t>
      </w:r>
      <w:r>
        <w:rPr>
          <w:rFonts w:ascii="Calibri" w:cs="Calibri" w:eastAsia="Calibri" w:hAnsi="Calibri"/>
          <w:sz w:val="19"/>
          <w:szCs w:val="19"/>
        </w:rPr>
        <w:t xml:space="preserve">Separates day-to-day order processing (status updates, fulfilment tracking) from the sales performance view, so operational staff and business owners each get the view relevant to their role rather than one undifferentiated table.</w:t>
      </w:r>
    </w:p>
    <w:p>
      <w:pPr>
        <w:pStyle w:val="ListParagraph"/>
        <w:numPr>
          <w:ilvl w:val="0"/>
          <w:numId w:val="2"/>
        </w:numPr>
        <w:spacing w:after="70" w:line="260"/>
      </w:pPr>
      <w:r>
        <w:rPr>
          <w:rFonts w:ascii="Calibri" w:cs="Calibri" w:eastAsia="Calibri" w:hAnsi="Calibri"/>
          <w:b/>
          <w:bCs/>
          <w:sz w:val="19"/>
          <w:szCs w:val="19"/>
        </w:rPr>
        <w:t xml:space="preserve">Finance Tracking: </w:t>
      </w:r>
      <w:r>
        <w:rPr>
          <w:rFonts w:ascii="Calibri" w:cs="Calibri" w:eastAsia="Calibri" w:hAnsi="Calibri"/>
          <w:sz w:val="19"/>
          <w:szCs w:val="19"/>
        </w:rPr>
        <w:t xml:space="preserve">A simple income-and-expense ledger that feeds directly into the dashboard's net balance figure, giving a real-time cash position instead of a month-end reconciliation.</w:t>
      </w:r>
    </w:p>
    <w:p>
      <w:pPr>
        <w:pStyle w:val="ListParagraph"/>
        <w:numPr>
          <w:ilvl w:val="0"/>
          <w:numId w:val="2"/>
        </w:numPr>
        <w:spacing w:after="70" w:line="260"/>
      </w:pPr>
      <w:r>
        <w:rPr>
          <w:rFonts w:ascii="Calibri" w:cs="Calibri" w:eastAsia="Calibri" w:hAnsi="Calibri"/>
          <w:b/>
          <w:bCs/>
          <w:sz w:val="19"/>
          <w:szCs w:val="19"/>
        </w:rPr>
        <w:t xml:space="preserve">Power BI Integration: </w:t>
      </w:r>
      <w:r>
        <w:rPr>
          <w:rFonts w:ascii="Calibri" w:cs="Calibri" w:eastAsia="Calibri" w:hAnsi="Calibri"/>
          <w:sz w:val="19"/>
          <w:szCs w:val="19"/>
        </w:rPr>
        <w:t xml:space="preserve">Recognizing that many businesses already invest in Microsoft Power BI, the platform was built with a live Power BI embed option, so an existing Power BI report can be displayed inside the ERP with no extra licensing cost to the platform itself. Where a live Power BI workspace was not available during prototyping due to free-tier restrictions, an equivalent in-house analytics layer was engineered to reproduce the same reporting experience — demonstrating that the analytics capability does not depend on a single vendor.</w:t>
      </w:r>
    </w:p>
    <w:p>
      <w:pPr>
        <w:pStyle w:val="ListParagraph"/>
        <w:numPr>
          <w:ilvl w:val="0"/>
          <w:numId w:val="2"/>
        </w:numPr>
        <w:spacing w:after="70" w:line="260"/>
      </w:pPr>
      <w:r>
        <w:rPr>
          <w:rFonts w:ascii="Calibri" w:cs="Calibri" w:eastAsia="Calibri" w:hAnsi="Calibri"/>
          <w:b/>
          <w:bCs/>
          <w:sz w:val="19"/>
          <w:szCs w:val="19"/>
        </w:rPr>
        <w:t xml:space="preserve">Custom Analytics Dashboard: </w:t>
      </w:r>
      <w:r>
        <w:rPr>
          <w:rFonts w:ascii="Calibri" w:cs="Calibri" w:eastAsia="Calibri" w:hAnsi="Calibri"/>
          <w:sz w:val="19"/>
          <w:szCs w:val="19"/>
        </w:rPr>
        <w:t xml:space="preserve">Five core visualizations (order status, income versus expense, stock levels, revenue growth, top products) presented on one screen with a working slicer filter, mirroring the cross-filtering experience of a standard BI report page — built to prove the underlying data model could support proper business reporting, not just data entry.</w:t>
      </w:r>
    </w:p>
    <w:p>
      <w:pPr>
        <w:pStyle w:val="ListParagraph"/>
        <w:numPr>
          <w:ilvl w:val="0"/>
          <w:numId w:val="2"/>
        </w:numPr>
        <w:spacing w:after="70" w:line="260"/>
      </w:pPr>
      <w:r>
        <w:rPr>
          <w:rFonts w:ascii="Calibri" w:cs="Calibri" w:eastAsia="Calibri" w:hAnsi="Calibri"/>
          <w:b/>
          <w:bCs/>
          <w:sz w:val="19"/>
          <w:szCs w:val="19"/>
        </w:rPr>
        <w:t xml:space="preserve">Business Insights Module: </w:t>
      </w:r>
      <w:r>
        <w:rPr>
          <w:rFonts w:ascii="Calibri" w:cs="Calibri" w:eastAsia="Calibri" w:hAnsi="Calibri"/>
          <w:sz w:val="19"/>
          <w:szCs w:val="19"/>
        </w:rPr>
        <w:t xml:space="preserve">The most strategically significant addition: sales forecasting (projecting next month's revenue from historical trend), automatic customer segmentation (VIP, Regular, Occasional, based on spend contribution), product-level profit margin analysis, and month-over-month growth tracking. This shifts the platform from descriptive reporting on what happened to decision support on what is likely to happen next and where attention should go.</w:t>
      </w:r>
    </w:p>
    <w:p>
      <w:pPr>
        <w:pStyle w:val="ListParagraph"/>
        <w:numPr>
          <w:ilvl w:val="0"/>
          <w:numId w:val="2"/>
        </w:numPr>
        <w:spacing w:after="70" w:line="260"/>
      </w:pPr>
      <w:r>
        <w:rPr>
          <w:rFonts w:ascii="Calibri" w:cs="Calibri" w:eastAsia="Calibri" w:hAnsi="Calibri"/>
          <w:b/>
          <w:bCs/>
          <w:sz w:val="19"/>
          <w:szCs w:val="19"/>
        </w:rPr>
        <w:t xml:space="preserve">Notifications: </w:t>
      </w:r>
      <w:r>
        <w:rPr>
          <w:rFonts w:ascii="Calibri" w:cs="Calibri" w:eastAsia="Calibri" w:hAnsi="Calibri"/>
          <w:sz w:val="19"/>
          <w:szCs w:val="19"/>
        </w:rPr>
        <w:t xml:space="preserve">A proactive alert system surfacing low-stock products and pending orders without requiring anyone to manually audit each module — a small feature with outsized impact on preventing avoidable operational misses.</w:t>
      </w:r>
    </w:p>
    <w:p>
      <w:pPr>
        <w:pStyle w:val="ListParagraph"/>
        <w:numPr>
          <w:ilvl w:val="0"/>
          <w:numId w:val="2"/>
        </w:numPr>
        <w:spacing w:after="70" w:line="260"/>
      </w:pPr>
      <w:r>
        <w:rPr>
          <w:rFonts w:ascii="Calibri" w:cs="Calibri" w:eastAsia="Calibri" w:hAnsi="Calibri"/>
          <w:b/>
          <w:bCs/>
          <w:sz w:val="19"/>
          <w:szCs w:val="19"/>
        </w:rPr>
        <w:t xml:space="preserve">Export to Excel &amp; PDF: </w:t>
      </w:r>
      <w:r>
        <w:rPr>
          <w:rFonts w:ascii="Calibri" w:cs="Calibri" w:eastAsia="Calibri" w:hAnsi="Calibri"/>
          <w:sz w:val="19"/>
          <w:szCs w:val="19"/>
        </w:rPr>
        <w:t xml:space="preserve">One-click export of any operational report, recognizing that not every stakeholder works inside the platform — owners, accountants, and external partners often still need an offline, shareable file.</w:t>
      </w:r>
    </w:p>
    <w:p>
      <w:pPr>
        <w:pStyle w:val="Heading1"/>
        <w:pBdr>
          <w:bottom w:val="single" w:color="4F46E5" w:sz="6" w:space="3"/>
        </w:pBdr>
        <w:spacing w:after="90" w:before="200"/>
      </w:pPr>
      <w:r>
        <w:t xml:space="preserve">4. Business Impact</w:t>
      </w:r>
    </w:p>
    <w:p>
      <w:pPr>
        <w:spacing w:after="110" w:line="268"/>
        <w:jc w:val="both"/>
      </w:pPr>
      <w:r>
        <w:rPr>
          <w:rFonts w:ascii="Calibri" w:cs="Calibri" w:eastAsia="Calibri" w:hAnsi="Calibri"/>
          <w:color w:val="262626"/>
          <w:sz w:val="19"/>
          <w:szCs w:val="19"/>
        </w:rPr>
        <w:t xml:space="preserve">Deployed in a live setting, the platform is designed to compress the time between an event occurring (a sale, a stock shortage, a slow month) and the business owner becoming aware of it, from days of manual reconciliation to a near-instant dashboard view. The segmentation and margin analysis features support a shift from intuition-based to evidence-based prioritization of customers and products, while the forecasting view gives a non-technical owner a directional read on revenue without requiring any statistical background to interpret it.</w:t>
      </w:r>
    </w:p>
    <w:p>
      <w:pPr>
        <w:pStyle w:val="Heading1"/>
        <w:pBdr>
          <w:bottom w:val="single" w:color="4F46E5" w:sz="6" w:space="3"/>
        </w:pBdr>
        <w:spacing w:after="90" w:before="200"/>
      </w:pPr>
      <w:r>
        <w:t xml:space="preserve">5. Conclusion</w:t>
      </w:r>
    </w:p>
    <w:p>
      <w:pPr>
        <w:spacing w:after="110" w:line="268"/>
        <w:jc w:val="both"/>
      </w:pPr>
      <w:r>
        <w:rPr>
          <w:rFonts w:ascii="Calibri" w:cs="Calibri" w:eastAsia="Calibri" w:hAnsi="Calibri"/>
          <w:color w:val="262626"/>
          <w:sz w:val="19"/>
          <w:szCs w:val="19"/>
        </w:rPr>
        <w:t xml:space="preserve">Nexus ERP demonstrates the ability to operate at the intersection of business analysis and product ownership: identifying a real operational gap, scoping a solution with clear prioritization logic, and delivering a complete, working system rather than a slide-deck proposal. It is presented here as evidence of applied analytical thinking, structured product decision-making, and the ability to see a business problem through from definition to delivery.</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4"/>
        <w:szCs w:val="14"/>
      </w:rPr>
      <w:t xml:space="preserve">Page </w:t>
    </w:r>
    <w:r>
      <w:rPr>
        <w:rFonts w:ascii="Calibri" w:cs="Calibri" w:eastAsia="Calibri" w:hAnsi="Calibri"/>
        <w:color w:val="59595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E3" w:sz="4" w:space="3"/>
      </w:pBdr>
      <w:jc w:val="right"/>
    </w:pPr>
    <w:r>
      <w:rPr>
        <w:rFonts w:ascii="Calibri" w:cs="Calibri" w:eastAsia="Calibri" w:hAnsi="Calibri"/>
        <w:color w:val="595959"/>
        <w:sz w:val="14"/>
        <w:szCs w:val="14"/>
      </w:rPr>
      <w:t xml:space="preserve">Nexus ERP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90" w:before="200"/>
      <w:outlineLvl w:val="0"/>
    </w:pPr>
    <w:rPr>
      <w:rFonts w:ascii="Calibri" w:cs="Calibri" w:eastAsia="Calibri" w:hAnsi="Calibri"/>
      <w:b/>
      <w:bCs/>
      <w:color w:val="1E1B4B"/>
      <w:sz w:val="24"/>
      <w:szCs w:val="24"/>
    </w:rPr>
  </w:style>
  <w:style w:type="paragraph" w:styleId="Title">
    <w:name w:val="Title"/>
    <w:basedOn w:val="Normal"/>
    <w:next w:val="Normal"/>
    <w:pPr>
      <w:spacing w:after="40"/>
    </w:pPr>
    <w:rPr>
      <w:rFonts w:ascii="Calibri" w:cs="Calibri" w:eastAsia="Calibri" w:hAnsi="Calibri"/>
      <w:b/>
      <w:bCs/>
      <w:color w:val="1E1B4B"/>
      <w:sz w:val="40"/>
      <w:szCs w:val="40"/>
    </w:rPr>
  </w:style>
  <w:style w:type="paragraph" w:styleId="Subtitle">
    <w:name w:val="Subtitle"/>
    <w:basedOn w:val="Normal"/>
    <w:next w:val="Normal"/>
    <w:pPr>
      <w:spacing w:after="180"/>
    </w:pPr>
    <w:rPr>
      <w:rFonts w:ascii="Calibri" w:cs="Calibri" w:eastAsia="Calibri" w:hAnsi="Calibri"/>
      <w:i/>
      <w:iCs/>
      <w:color w:val="595959"/>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2026-06-18T05:17:28.552Z</dcterms:created>
  <dcterms:modified xsi:type="dcterms:W3CDTF">2026-06-18T05:17:28.552Z</dcterms:modified>
</cp:coreProperties>
</file>

<file path=docProps/custom.xml><?xml version="1.0" encoding="utf-8"?>
<Properties xmlns="http://schemas.openxmlformats.org/officeDocument/2006/custom-properties" xmlns:vt="http://schemas.openxmlformats.org/officeDocument/2006/docPropsVTypes"/>
</file>