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  <w:gridCol w:w="3312"/>
      </w:tblGrid>
      <w:tr>
        <w:tc>
          <w:tcPr>
            <w:tcW w:type="dxa" w:w="10800"/>
            <w:shd w:fill="E8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B3A4B"/>
                <w:sz w:val="17"/>
              </w:rPr>
              <w:t xml:space="preserve">  UE24CS352A • MACHINE LEARNING MINI-PROJECT  </w:t>
            </w:r>
          </w:p>
        </w:tc>
        <w:tc>
          <w:tcPr>
            <w:tcW w:type="dxa" w:w="3312"/>
          </w:tcPr>
          <w:p>
            <w:pPr>
              <w:spacing w:before="0" w:after="40"/>
              <w:jc w:val="right"/>
            </w:pPr>
            <w:r>
              <w:rPr>
                <w:rFonts w:ascii="Arial" w:hAnsi="Arial"/>
                <w:color w:val="777777"/>
                <w:sz w:val="17"/>
              </w:rPr>
              <w:t>Slide 1 of 14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1B3A4B"/>
          <w:sz w:val="36"/>
        </w:rPr>
        <w:t>Detecting and Predicting Earthquake Ground Motion Directionality Patterns</w:t>
      </w:r>
    </w:p>
    <w:p>
      <w:pPr>
        <w:spacing w:before="0" w:after="80"/>
      </w:pPr>
      <w:r>
        <w:rPr>
          <w:rFonts w:ascii="Arial" w:hAnsi="Arial"/>
          <w:i/>
          <w:color w:val="555555"/>
          <w:sz w:val="21"/>
        </w:rPr>
        <w:t>Applying Supervised Machine Learning Tools to Seismic Intensity Orientation Differences</w:t>
      </w:r>
    </w:p>
    <w:p>
      <w:pPr>
        <w:spacing w:before="0" w:after="160"/>
      </w:pPr>
      <w:r>
        <w:rPr>
          <w:color w:val="2980B9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064"/>
        <w:gridCol w:w="6048"/>
      </w:tblGrid>
      <w:tr>
        <w:tc>
          <w:tcPr>
            <w:tcW w:type="dxa" w:w="7056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</w:rPr>
              <w:t>📚 Project Context &amp; Reference Study</w:t>
              <w:br/>
            </w:r>
            <w:r>
              <w:rPr>
                <w:sz w:val="19"/>
              </w:rPr>
              <w:t>• Reference Paper: Alan Poulos &amp; Rodrigo Silva-Lopez</w:t>
              <w:br/>
              <w:t>• Institution: John A. Blume Earthquake Engineering Center, Stanford University</w:t>
              <w:br/>
              <w:t>• Target Problem: RotD100 Ground Motion Directionality Differences (Δθ)</w:t>
              <w:br/>
              <w:t>• Evaluation Format: Code Implementation, Review Slide Deck &amp; Viva Demonstration</w:t>
              <w:br/>
              <w:t>• Deliverables Status: Fully Implemented &amp; Validated</w:t>
            </w:r>
          </w:p>
        </w:tc>
        <w:tc>
          <w:tcPr>
            <w:tcW w:type="dxa" w:w="7056"/>
            <w:shd w:fill="E8F8F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</w:rPr>
              <w:t>🎯 Core Engineering Objectives</w:t>
              <w:br/>
            </w:r>
            <w:r>
              <w:rPr>
                <w:sz w:val="19"/>
              </w:rPr>
              <w:t>1. Predict directional shaking differences Δθ ∈ [0°, 90°] between recording sites</w:t>
              <w:br/>
              <w:t>2. Eliminate the flawed assumption of independent uniform orientations</w:t>
              <w:br/>
              <w:t>3. Select top 21 physical features via Backward-Forward Ridge analysis</w:t>
              <w:br/>
              <w:t>4. Benchmark Linear vs. Ridge vs. Deep Neural Network models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FFF9E6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A6D3B"/>
                <w:sz w:val="17"/>
              </w:rPr>
              <w:t xml:space="preserve">🎤 Presenter Talking Point: </w:t>
            </w:r>
            <w:r>
              <w:rPr>
                <w:rFonts w:ascii="Arial" w:hAnsi="Arial"/>
                <w:i/>
                <w:color w:val="554422"/>
                <w:sz w:val="17"/>
              </w:rPr>
              <w:t>Introduce the team and state clearly that this project bridges machine learning with structural earthquake engineering to predict how ground shaking aligns across adjacent locations during shallow crustal earthquakes.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  <w:gridCol w:w="3312"/>
      </w:tblGrid>
      <w:tr>
        <w:tc>
          <w:tcPr>
            <w:tcW w:type="dxa" w:w="10800"/>
            <w:shd w:fill="E8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B3A4B"/>
                <w:sz w:val="17"/>
              </w:rPr>
              <w:t xml:space="preserve">  ENGINEERING MOTIVATION &amp; PROBLEM DEFINITION  </w:t>
            </w:r>
          </w:p>
        </w:tc>
        <w:tc>
          <w:tcPr>
            <w:tcW w:type="dxa" w:w="3312"/>
          </w:tcPr>
          <w:p>
            <w:pPr>
              <w:spacing w:before="0" w:after="40"/>
              <w:jc w:val="right"/>
            </w:pPr>
            <w:r>
              <w:rPr>
                <w:rFonts w:ascii="Arial" w:hAnsi="Arial"/>
                <w:color w:val="777777"/>
                <w:sz w:val="17"/>
              </w:rPr>
              <w:t>Slide 2 of 14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1B3A4B"/>
          <w:sz w:val="36"/>
        </w:rPr>
        <w:t>The Ground Motion Directionality Problem in Seismic Risk</w:t>
      </w:r>
    </w:p>
    <w:p>
      <w:pPr>
        <w:spacing w:before="0" w:after="80"/>
      </w:pPr>
      <w:r>
        <w:rPr>
          <w:rFonts w:ascii="Arial" w:hAnsi="Arial"/>
          <w:i/>
          <w:color w:val="555555"/>
          <w:sz w:val="21"/>
        </w:rPr>
        <w:t>Why Orientations of Maximum Shaking (RotD100) Matter for Civil Infrastructure</w:t>
      </w:r>
    </w:p>
    <w:p>
      <w:pPr>
        <w:spacing w:before="0" w:after="160"/>
      </w:pPr>
      <w:r>
        <w:rPr>
          <w:color w:val="2980B9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fill="FDEDE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</w:rPr>
              <w:t>⚠️ Flaw in Current Engineering Practice</w:t>
              <w:br/>
            </w:r>
            <w:r>
              <w:rPr>
                <w:sz w:val="18"/>
              </w:rPr>
              <w:t>• Ground shaking is non-isotropic: horizontal spectral acceleration varies with azimuth.</w:t>
              <w:br/>
              <w:t>• The maximum intensity over all horizontal orientations is termed RotD100.</w:t>
              <w:br/>
              <w:t>• Current building codes (ASCE 7-16) and regional risk assessments treat shaking orientations across different sites as independent and uniformly distributed over [0°, 180°).</w:t>
              <w:br/>
              <w:t>• Dangerous Consequence: Assuming independence severely underestimates the probability of simultaneous catastrophic failure across lifelines (bridges, gas pipelines, subways).</w:t>
            </w:r>
          </w:p>
        </w:tc>
        <w:tc>
          <w:tcPr>
            <w:tcW w:type="dxa" w:w="7056"/>
            <w:shd w:fill="EAF2F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</w:rPr>
              <w:t>🔬 Physical Reality &amp; Wave Coherence</w:t>
              <w:br/>
            </w:r>
            <w:r>
              <w:rPr>
                <w:sz w:val="18"/>
              </w:rPr>
              <w:t>• Observations from major earthquakes (e.g. Anchorage 2018 Mw 5.7, Loma Prieta) prove nearby stations (&lt; 5 km) experience coherent polarized shaking.</w:t>
              <w:br/>
              <w:t>• Source rupture directivity and coherent shear wave propagation align ground motions.</w:t>
              <w:br/>
              <w:t>• No empirical model previously existed to sample RotD100 orientations simultaneously across multiple sites.</w:t>
              <w:br/>
              <w:t>• Solution: Build ML models mapping source, geological, and spatial features to directional difference Δθ.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FFF9E6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A6D3B"/>
                <w:sz w:val="17"/>
              </w:rPr>
              <w:t xml:space="preserve">🎤 Presenter Talking Point: </w:t>
            </w:r>
            <w:r>
              <w:rPr>
                <w:rFonts w:ascii="Arial" w:hAnsi="Arial"/>
                <w:i/>
                <w:color w:val="554422"/>
                <w:sz w:val="17"/>
              </w:rPr>
              <w:t>Explain why independent uniform sampling is dangerous. Emphasize that if a bridge spans across 2 km, assuming each pier shakes in an independent random orientation will underestimate the torsional stress compared to reality where both piers shake in nearly identical directions.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  <w:gridCol w:w="3312"/>
      </w:tblGrid>
      <w:tr>
        <w:tc>
          <w:tcPr>
            <w:tcW w:type="dxa" w:w="10800"/>
            <w:shd w:fill="E8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B3A4B"/>
                <w:sz w:val="17"/>
              </w:rPr>
              <w:t xml:space="preserve">  MATHEMATICAL FORMULATION  </w:t>
            </w:r>
          </w:p>
        </w:tc>
        <w:tc>
          <w:tcPr>
            <w:tcW w:type="dxa" w:w="3312"/>
          </w:tcPr>
          <w:p>
            <w:pPr>
              <w:spacing w:before="0" w:after="40"/>
              <w:jc w:val="right"/>
            </w:pPr>
            <w:r>
              <w:rPr>
                <w:rFonts w:ascii="Arial" w:hAnsi="Arial"/>
                <w:color w:val="777777"/>
                <w:sz w:val="17"/>
              </w:rPr>
              <w:t>Slide 3 of 14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1B3A4B"/>
          <w:sz w:val="36"/>
        </w:rPr>
        <w:t>Formulating Directionality Difference Δθ as a Supervised ML Task</w:t>
      </w:r>
    </w:p>
    <w:p>
      <w:pPr>
        <w:spacing w:before="0" w:after="80"/>
      </w:pPr>
      <w:r>
        <w:rPr>
          <w:rFonts w:ascii="Arial" w:hAnsi="Arial"/>
          <w:i/>
          <w:color w:val="555555"/>
          <w:sz w:val="21"/>
        </w:rPr>
        <w:t>Predicting Pairwise Orientation Differences Between Spatial Recording Sites</w:t>
      </w:r>
    </w:p>
    <w:p>
      <w:pPr>
        <w:spacing w:before="0" w:after="160"/>
      </w:pPr>
      <w:r>
        <w:rPr>
          <w:color w:val="2980B9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160" w:after="160"/>
      </w:pPr>
      <w:r>
        <w:rPr>
          <w:b/>
          <w:color w:val="1B3A4B"/>
          <w:sz w:val="26"/>
        </w:rPr>
        <w:t>Target Formulation:   Δθ(sᵢ, sⱼ, Eₖ) = f(sᵢ, sⱼ, Eₖ) ∈ [0°, 90°]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10512"/>
      </w:tblGrid>
      <w:tr>
        <w:tc>
          <w:tcPr>
            <w:tcW w:type="dxa" w:w="7056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Ground Truth Target (Δθ)</w:t>
            </w:r>
          </w:p>
        </w:tc>
        <w:tc>
          <w:tcPr>
            <w:tcW w:type="dxa" w:w="70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Computed from recorded ground motion acceleration waveforms:</w:t>
              <w:br/>
              <w:t>Δθ = min(|θᵢ - θⱼ|, 180° - |θᵢ - θⱼ|), bounding the acute difference in [0°, 90°].</w:t>
            </w:r>
          </w:p>
        </w:tc>
      </w:tr>
      <w:tr>
        <w:tc>
          <w:tcPr>
            <w:tcW w:type="dxa" w:w="7056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Inputs: Dual Sites (sᵢ, sⱼ)</w:t>
            </w:r>
          </w:p>
        </w:tc>
        <w:tc>
          <w:tcPr>
            <w:tcW w:type="dxa" w:w="70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Spatial coordinates, inter-site separation distance d (≤ 5 km), geotechnical soil shear wave velocity Vs30, NEHRP site classifications (B, C, D, E), and dual-station shaking intensities (PGA, PGV, PGD).</w:t>
            </w:r>
          </w:p>
        </w:tc>
      </w:tr>
      <w:tr>
        <w:tc>
          <w:tcPr>
            <w:tcW w:type="dxa" w:w="7056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Inputs: Seismic Source (Eₖ)</w:t>
            </w:r>
          </w:p>
        </w:tc>
        <w:tc>
          <w:tcPr>
            <w:tcW w:type="dxa" w:w="70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Earthquake magnitude Mw, focal mechanism (strike-slip, normal, reverse), strike angle, dip angle, rake angle, fault rupture length, width, area, hypocenter depth, and ZTOR.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FFF9E6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A6D3B"/>
                <w:sz w:val="17"/>
              </w:rPr>
              <w:t xml:space="preserve">🎤 Presenter Talking Point: </w:t>
            </w:r>
            <w:r>
              <w:rPr>
                <w:rFonts w:ascii="Arial" w:hAnsi="Arial"/>
                <w:i/>
                <w:color w:val="554422"/>
                <w:sz w:val="17"/>
              </w:rPr>
              <w:t>Clarify why Δθ is bounded between 0° and 90°: because ground shaking orientation is an axis rather than a directed vector (a shake along 0° is identical in orientation to 180°). The acute angle between two orientations cannot exceed 90°.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  <w:gridCol w:w="3312"/>
      </w:tblGrid>
      <w:tr>
        <w:tc>
          <w:tcPr>
            <w:tcW w:type="dxa" w:w="10800"/>
            <w:shd w:fill="E8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B3A4B"/>
                <w:sz w:val="17"/>
              </w:rPr>
              <w:t xml:space="preserve">  DATASET &amp; PREPROCESSING  </w:t>
            </w:r>
          </w:p>
        </w:tc>
        <w:tc>
          <w:tcPr>
            <w:tcW w:type="dxa" w:w="3312"/>
          </w:tcPr>
          <w:p>
            <w:pPr>
              <w:spacing w:before="0" w:after="40"/>
              <w:jc w:val="right"/>
            </w:pPr>
            <w:r>
              <w:rPr>
                <w:rFonts w:ascii="Arial" w:hAnsi="Arial"/>
                <w:color w:val="777777"/>
                <w:sz w:val="17"/>
              </w:rPr>
              <w:t>Slide 4 of 14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1B3A4B"/>
          <w:sz w:val="36"/>
        </w:rPr>
        <w:t>NGA-West2 Shallow Crustal Database &amp; Pairwise Construction</w:t>
      </w:r>
    </w:p>
    <w:p>
      <w:pPr>
        <w:spacing w:before="0" w:after="80"/>
      </w:pPr>
      <w:r>
        <w:rPr>
          <w:rFonts w:ascii="Arial" w:hAnsi="Arial"/>
          <w:i/>
          <w:color w:val="555555"/>
          <w:sz w:val="21"/>
        </w:rPr>
        <w:t>From 20,000 Global Records to 5,300 High-Significance Paired Site Instances</w:t>
      </w:r>
    </w:p>
    <w:p>
      <w:pPr>
        <w:spacing w:before="0" w:after="160"/>
      </w:pPr>
      <w:r>
        <w:rPr>
          <w:color w:val="2980B9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  <w:gridCol w:w="4896"/>
      </w:tblGrid>
      <w:tr>
        <w:tc>
          <w:tcPr>
            <w:tcW w:type="dxa" w:w="4704"/>
            <w:shd w:fill="F4F6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</w:rPr>
              <w:t>1. PEER NGA-West2 Database</w:t>
              <w:br/>
            </w:r>
            <w:r>
              <w:rPr>
                <w:sz w:val="17"/>
              </w:rPr>
              <w:t>• Contains ~20,000 global shallow crustal ground motions.</w:t>
              <w:br/>
              <w:t>• Filtered for engineering relevance: Mw ≥ 5.0.</w:t>
              <w:br/>
              <w:t>• Leaves ~5,000 high-energy earthquake records.</w:t>
              <w:br/>
              <w:t>• 274 raw candidate attributes in catalog.</w:t>
            </w:r>
          </w:p>
        </w:tc>
        <w:tc>
          <w:tcPr>
            <w:tcW w:type="dxa" w:w="4704"/>
            <w:shd w:fill="F4F6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</w:rPr>
              <w:t>2. Spatial Pairing (d ≤ 5 km)</w:t>
              <w:br/>
            </w:r>
            <w:r>
              <w:rPr>
                <w:sz w:val="17"/>
              </w:rPr>
              <w:t>• Pairs stations recording the same seismic event.</w:t>
              <w:br/>
              <w:t>• Inter-site separation distance d ≤ 5.0 km.</w:t>
              <w:br/>
              <w:t>• Synthesizes ~5,300 pairwise instances.</w:t>
              <w:br/>
              <w:t>• Pair attributes: differences (ΔVs30, ΔPGA) &amp; averages (PGA_avg, Vs30_avg).</w:t>
            </w:r>
          </w:p>
        </w:tc>
        <w:tc>
          <w:tcPr>
            <w:tcW w:type="dxa" w:w="4704"/>
            <w:shd w:fill="F4F6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</w:rPr>
              <w:t>3. Preprocessing &amp; Splitting</w:t>
              <w:br/>
            </w:r>
            <w:r>
              <w:rPr>
                <w:sz w:val="17"/>
              </w:rPr>
              <w:t>• 71 domain-curated engineering features.</w:t>
              <w:br/>
              <w:t>• Categorical one-hot encoding for focal mechanism and NEHRP soil classes.</w:t>
              <w:br/>
              <w:t>• StandardScaler normalization (mean 0, variance 1).</w:t>
              <w:br/>
              <w:t>• Clean 80% Train (4240), 10% Val (530), 10% Test (530).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FFF9E6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A6D3B"/>
                <w:sz w:val="17"/>
              </w:rPr>
              <w:t xml:space="preserve">🎤 Presenter Talking Point: </w:t>
            </w:r>
            <w:r>
              <w:rPr>
                <w:rFonts w:ascii="Arial" w:hAnsi="Arial"/>
                <w:i/>
                <w:color w:val="554422"/>
                <w:sz w:val="17"/>
              </w:rPr>
              <w:t>Highlight that only earthquakes with Mw &gt;= 5.0 are used because smaller events do not cause structural damage. Explain that stations were paired only if they recorded the exact same earthquake and were within 5 km of each other.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  <w:gridCol w:w="3312"/>
      </w:tblGrid>
      <w:tr>
        <w:tc>
          <w:tcPr>
            <w:tcW w:type="dxa" w:w="10800"/>
            <w:shd w:fill="E8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B3A4B"/>
                <w:sz w:val="17"/>
              </w:rPr>
              <w:t xml:space="preserve">  EMPIRICAL DIRECTIONALITY TRENDS  </w:t>
            </w:r>
          </w:p>
        </w:tc>
        <w:tc>
          <w:tcPr>
            <w:tcW w:type="dxa" w:w="3312"/>
          </w:tcPr>
          <w:p>
            <w:pPr>
              <w:spacing w:before="0" w:after="40"/>
              <w:jc w:val="right"/>
            </w:pPr>
            <w:r>
              <w:rPr>
                <w:rFonts w:ascii="Arial" w:hAnsi="Arial"/>
                <w:color w:val="777777"/>
                <w:sz w:val="17"/>
              </w:rPr>
              <w:t>Slide 5 of 14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1B3A4B"/>
          <w:sz w:val="36"/>
        </w:rPr>
        <w:t>Observed Physical Trends: Separation Distance &amp; PGA Intensity</w:t>
      </w:r>
    </w:p>
    <w:p>
      <w:pPr>
        <w:spacing w:before="0" w:after="80"/>
      </w:pPr>
      <w:r>
        <w:rPr>
          <w:rFonts w:ascii="Arial" w:hAnsi="Arial"/>
          <w:i/>
          <w:color w:val="555555"/>
          <w:sz w:val="21"/>
        </w:rPr>
        <w:t>Replication of Stanford Paper Figures 2 &amp; 3 with 95% Confidence Intervals</w:t>
      </w:r>
    </w:p>
    <w:p>
      <w:pPr>
        <w:spacing w:before="0" w:after="160"/>
      </w:pPr>
      <w:r>
        <w:rPr>
          <w:color w:val="2980B9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02_delta_theta_vs_distanc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2: Δθ vs. Inter-site Distance d</w:t>
              <w:br/>
            </w:r>
            <w:r>
              <w:rPr>
                <w:sz w:val="17"/>
              </w:rPr>
              <w:t>• Tight alignment (Δθ ≈ 15°–20°) at close distances (&lt; 1.5 km).</w:t>
              <w:br/>
              <w:t>• Decays towards uniform randomness (Δθ ≈ 45°) as d approaches 5 km.</w:t>
            </w:r>
          </w:p>
        </w:tc>
        <w:tc>
          <w:tcPr>
            <w:tcW w:type="dxa" w:w="7056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03_delta_theta_vs_pg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3: Δθ vs. Average PGA</w:t>
              <w:br/>
            </w:r>
            <w:r>
              <w:rPr>
                <w:sz w:val="17"/>
              </w:rPr>
              <w:t>• High PGA (&gt; 0.15g) focuses seismic energy into source directivity.</w:t>
              <w:br/>
              <w:t>• Overwhelms scattering, driving Δθ down towards 20°.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FFF9E6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A6D3B"/>
                <w:sz w:val="17"/>
              </w:rPr>
              <w:t xml:space="preserve">🎤 Presenter Talking Point: </w:t>
            </w:r>
            <w:r>
              <w:rPr>
                <w:rFonts w:ascii="Arial" w:hAnsi="Arial"/>
                <w:i/>
                <w:color w:val="554422"/>
                <w:sz w:val="17"/>
              </w:rPr>
              <w:t>Walk the panel through these two key physical trends: Distance increases Δθ because waves scatter over space; PGA decreases Δθ because stronger shaking aligns with the rupture fault strike.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  <w:gridCol w:w="3312"/>
      </w:tblGrid>
      <w:tr>
        <w:tc>
          <w:tcPr>
            <w:tcW w:type="dxa" w:w="10800"/>
            <w:shd w:fill="E8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B3A4B"/>
                <w:sz w:val="17"/>
              </w:rPr>
              <w:t xml:space="preserve">  FEATURE SELECTION STRATEGY  </w:t>
            </w:r>
          </w:p>
        </w:tc>
        <w:tc>
          <w:tcPr>
            <w:tcW w:type="dxa" w:w="3312"/>
          </w:tcPr>
          <w:p>
            <w:pPr>
              <w:spacing w:before="0" w:after="40"/>
              <w:jc w:val="right"/>
            </w:pPr>
            <w:r>
              <w:rPr>
                <w:rFonts w:ascii="Arial" w:hAnsi="Arial"/>
                <w:color w:val="777777"/>
                <w:sz w:val="17"/>
              </w:rPr>
              <w:t>Slide 6 of 14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1B3A4B"/>
          <w:sz w:val="36"/>
        </w:rPr>
        <w:t>Two-Stage Stepwise Backward-Forward Analysis Using Ridge Regression</w:t>
      </w:r>
    </w:p>
    <w:p>
      <w:pPr>
        <w:spacing w:before="0" w:after="80"/>
      </w:pPr>
      <w:r>
        <w:rPr>
          <w:rFonts w:ascii="Arial" w:hAnsi="Arial"/>
          <w:i/>
          <w:color w:val="555555"/>
          <w:sz w:val="21"/>
        </w:rPr>
        <w:t>Eliminating Multicollinearity to Select the Optimal 21 Physical Predictors</w:t>
      </w:r>
    </w:p>
    <w:p>
      <w:pPr>
        <w:spacing w:before="0" w:after="160"/>
      </w:pPr>
      <w:r>
        <w:rPr>
          <w:color w:val="2980B9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7200"/>
      </w:tblGrid>
      <w:tr>
        <w:tc>
          <w:tcPr>
            <w:tcW w:type="dxa" w:w="7056"/>
            <w:shd w:fill="EBF5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</w:rPr>
              <w:t>Methodology (Section 3.3)</w:t>
              <w:br/>
            </w:r>
            <w:r>
              <w:rPr>
                <w:sz w:val="17"/>
              </w:rPr>
              <w:t>1. Backward Ranking Stage:</w:t>
              <w:br/>
              <w:t xml:space="preserve">   • Fit baseline Ridge regression model on all 71 features.</w:t>
              <w:br/>
              <w:t xml:space="preserve">   • Sequentially remove each feature and record drop in validation R²:</w:t>
              <w:br/>
              <w:t xml:space="preserve">     ΔR² = R²_baseline - R²_without_i</w:t>
              <w:br/>
              <w:t xml:space="preserve">   • Larger drop = higher predictive contribution.</w:t>
              <w:br/>
              <w:br/>
              <w:t>2. Forward Selection Stage:</w:t>
              <w:br/>
              <w:t xml:space="preserve">   • Sort features descending by ΔR² drop.</w:t>
              <w:br/>
              <w:t xml:space="preserve">   • Sequentially add features one by one.</w:t>
              <w:br/>
              <w:t xml:space="preserve">   • Stop when validation R² peaks to prevent overfitting.</w:t>
            </w:r>
          </w:p>
        </w:tc>
        <w:tc>
          <w:tcPr>
            <w:tcW w:type="dxa" w:w="7056"/>
            <w:shd w:fill="FEF9E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</w:rPr>
              <w:t>Top Ranked Selected Features (Out of 21)</w:t>
              <w:br/>
            </w:r>
            <w:r>
              <w:rPr>
                <w:sz w:val="17"/>
              </w:rPr>
              <w:t>1. distance_between_sites (d)  [Highest ΔR² drop: +0.0213]</w:t>
              <w:br/>
              <w:t>2. radiation_strike_diff       [Fault orientation alignment]</w:t>
              <w:br/>
              <w:t>3. diff_vs30                  [Soil impedance contrast]</w:t>
              <w:br/>
              <w:t>4. log_pga_avg                [Shaking amplitude directivity]</w:t>
              <w:br/>
              <w:t>5. hypocenter_depth           [Focal depth geometry]</w:t>
              <w:br/>
              <w:t>6. rupture_aspect_ratio       [Fault rupture geometry]</w:t>
              <w:br/>
              <w:t>7. s1_nehrp_C / s1_nehrp_D     [Geotechnical soil classes]</w:t>
              <w:br/>
              <w:t>8. pga_to_pgv_ratio_avg       [Frequency content proxy]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FFF9E6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A6D3B"/>
                <w:sz w:val="17"/>
              </w:rPr>
              <w:t xml:space="preserve">🎤 Presenter Talking Point: </w:t>
            </w:r>
            <w:r>
              <w:rPr>
                <w:rFonts w:ascii="Arial" w:hAnsi="Arial"/>
                <w:i/>
                <w:color w:val="554422"/>
                <w:sz w:val="17"/>
              </w:rPr>
              <w:t>Emphasize that inter-site distance and PGA emerged as the top two most important features purely through algorithmic ranking, perfectly matching physical seismic theory.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  <w:gridCol w:w="3312"/>
      </w:tblGrid>
      <w:tr>
        <w:tc>
          <w:tcPr>
            <w:tcW w:type="dxa" w:w="10800"/>
            <w:shd w:fill="E8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B3A4B"/>
                <w:sz w:val="17"/>
              </w:rPr>
              <w:t xml:space="preserve">  MACHINE LEARNING ARCHITECTURES  </w:t>
            </w:r>
          </w:p>
        </w:tc>
        <w:tc>
          <w:tcPr>
            <w:tcW w:type="dxa" w:w="3312"/>
          </w:tcPr>
          <w:p>
            <w:pPr>
              <w:spacing w:before="0" w:after="40"/>
              <w:jc w:val="right"/>
            </w:pPr>
            <w:r>
              <w:rPr>
                <w:rFonts w:ascii="Arial" w:hAnsi="Arial"/>
                <w:color w:val="777777"/>
                <w:sz w:val="17"/>
              </w:rPr>
              <w:t>Slide 7 of 14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1B3A4B"/>
          <w:sz w:val="36"/>
        </w:rPr>
        <w:t>Benchmarked Regression Models for Directionality Prediction</w:t>
      </w:r>
    </w:p>
    <w:p>
      <w:pPr>
        <w:spacing w:before="0" w:after="80"/>
      </w:pPr>
      <w:r>
        <w:rPr>
          <w:rFonts w:ascii="Arial" w:hAnsi="Arial"/>
          <w:i/>
          <w:color w:val="555555"/>
          <w:sz w:val="21"/>
        </w:rPr>
        <w:t>From Simple Spatial Baselines to Regularized Linear and Deep Neural Networks</w:t>
      </w:r>
    </w:p>
    <w:p>
      <w:pPr>
        <w:spacing w:before="0" w:after="160"/>
      </w:pPr>
      <w:r>
        <w:rPr>
          <w:color w:val="2980B9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fill="FADBD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1. Benchmark Model (Simple OLS)</w:t>
              <w:br/>
            </w:r>
            <w:r>
              <w:rPr>
                <w:sz w:val="17"/>
              </w:rPr>
              <w:t>• Equation: Δθ = c₁ + c₂ · d</w:t>
              <w:br/>
              <w:t>• Inputs: 1 feature only (separation distance d).</w:t>
              <w:br/>
              <w:t>• Purpose: Quantifies how poorly conventional distance decay alone performs without seismological/geotechnical features.</w:t>
              <w:br/>
              <w:t>• Serves as baseline: c₁ ≈ 29.8°, c₂ ≈ 3.82°/km.</w:t>
            </w:r>
          </w:p>
        </w:tc>
        <w:tc>
          <w:tcPr>
            <w:tcW w:type="dxa" w:w="7056"/>
            <w:shd w:fill="D4E6F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2. Ridge Regression (L2 Regularized)</w:t>
              <w:br/>
            </w:r>
            <w:r>
              <w:rPr>
                <w:sz w:val="17"/>
              </w:rPr>
              <w:t>• Objective: min ||y - Xβ||₂² + α||β||₂²</w:t>
              <w:br/>
              <w:t>• Inputs: Top 21 selected features.</w:t>
              <w:br/>
              <w:t>• Regularization: Optimal α = 1.5 tuned on validation set.</w:t>
              <w:br/>
              <w:t>• Prevents multicollinearity and coefficient explosion across correlated seismic parameters.</w:t>
            </w:r>
          </w:p>
        </w:tc>
      </w:tr>
      <w:tr>
        <w:tc>
          <w:tcPr>
            <w:tcW w:type="dxa" w:w="7056"/>
            <w:shd w:fill="D5F5E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3. Deep Neural Network (MLP)</w:t>
              <w:br/>
            </w:r>
            <w:r>
              <w:rPr>
                <w:sz w:val="17"/>
              </w:rPr>
              <w:t>• Architecture: Multi-Layer Perceptron.</w:t>
              <w:br/>
              <w:t>• Non-linearity: ReLU activation functions.</w:t>
              <w:br/>
              <w:t>• Optimizer: Adam with adaptive learning rates.</w:t>
              <w:br/>
              <w:t>• Regularization: L2 weight decay α = 0.1 and early stopping.</w:t>
              <w:br/>
              <w:t>• Captures complex non-linear wave interactions.</w:t>
            </w:r>
          </w:p>
        </w:tc>
        <w:tc>
          <w:tcPr>
            <w:tcW w:type="dxa" w:w="7056"/>
            <w:shd w:fill="E8DA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4. Gradient Boosted Trees (Bonus Baseline)</w:t>
              <w:br/>
            </w:r>
            <w:r>
              <w:rPr>
                <w:sz w:val="17"/>
              </w:rPr>
              <w:t>• Algorithm: HistGradientBoostingRegressor.</w:t>
              <w:br/>
              <w:t>• Purpose: Independent non-parametric tree ensemble to cross-validate Neural Network non-linear performance.</w:t>
              <w:br/>
              <w:t>• Built-in L2 regularization (0.1) and adaptive binning.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FFF9E6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A6D3B"/>
                <w:sz w:val="17"/>
              </w:rPr>
              <w:t xml:space="preserve">🎤 Presenter Talking Point: </w:t>
            </w:r>
            <w:r>
              <w:rPr>
                <w:rFonts w:ascii="Arial" w:hAnsi="Arial"/>
                <w:i/>
                <w:color w:val="554422"/>
                <w:sz w:val="17"/>
              </w:rPr>
              <w:t>Explain why we compared these four models: Benchmark represents current baseline practice; Ridge represents regularized linear modeling; Neural Networks and Gradient Boosting capture non-linear radiation interactions.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  <w:gridCol w:w="3312"/>
      </w:tblGrid>
      <w:tr>
        <w:tc>
          <w:tcPr>
            <w:tcW w:type="dxa" w:w="10800"/>
            <w:shd w:fill="E8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B3A4B"/>
                <w:sz w:val="17"/>
              </w:rPr>
              <w:t xml:space="preserve">  HYPERPARAMETER TUNING &amp; GRID SEARCH  </w:t>
            </w:r>
          </w:p>
        </w:tc>
        <w:tc>
          <w:tcPr>
            <w:tcW w:type="dxa" w:w="3312"/>
          </w:tcPr>
          <w:p>
            <w:pPr>
              <w:spacing w:before="0" w:after="40"/>
              <w:jc w:val="right"/>
            </w:pPr>
            <w:r>
              <w:rPr>
                <w:rFonts w:ascii="Arial" w:hAnsi="Arial"/>
                <w:color w:val="777777"/>
                <w:sz w:val="17"/>
              </w:rPr>
              <w:t>Slide 8 of 14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1B3A4B"/>
          <w:sz w:val="36"/>
        </w:rPr>
        <w:t>Neural Network Architecture Grid Search (Replicating Paper Figure 8)</w:t>
      </w:r>
    </w:p>
    <w:p>
      <w:pPr>
        <w:spacing w:before="0" w:after="80"/>
      </w:pPr>
      <w:r>
        <w:rPr>
          <w:rFonts w:ascii="Arial" w:hAnsi="Arial"/>
          <w:i/>
          <w:color w:val="555555"/>
          <w:sz w:val="21"/>
        </w:rPr>
        <w:t>Exploring Model Depth (Layers) vs. Model Width (Neurons per Layer)</w:t>
      </w:r>
    </w:p>
    <w:p>
      <w:pPr>
        <w:spacing w:before="0" w:after="160"/>
      </w:pPr>
      <w:r>
        <w:rPr>
          <w:color w:val="2980B9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488"/>
        <w:gridCol w:w="6624"/>
      </w:tblGrid>
      <w:tr>
        <w:tc>
          <w:tcPr>
            <w:tcW w:type="dxa" w:w="705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60" cy="330872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08_nn_gridsearch_heatma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33087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56"/>
            <w:shd w:fill="F9EBE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</w:rPr>
              <w:t>Hyperparameter Search Insights</w:t>
              <w:br/>
            </w:r>
            <w:r>
              <w:rPr>
                <w:sz w:val="18"/>
              </w:rPr>
              <w:t>• Tested Grid: Depth (1, 2, 3, 5 layers) × Width (50, 100, 200, 300 neurons).</w:t>
              <w:br/>
              <w:t>• Optimization Metric: Validation R² score.</w:t>
              <w:br/>
              <w:t>• Optimal Architecture: 2 hidden layers with 50 neurons each (Validation R² = 0.3700).</w:t>
              <w:br/>
              <w:t>• Key Finding: Shallow-to-moderate deep architectures with L2 weight decay (α = 0.1) generalize best.</w:t>
              <w:br/>
              <w:t>• Excessively deep networks (5 layers, 300 neurons) suffer from minor overfitting due to seismic aleatoric noise.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FFF9E6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A6D3B"/>
                <w:sz w:val="17"/>
              </w:rPr>
              <w:t xml:space="preserve">🎤 Presenter Talking Point: </w:t>
            </w:r>
            <w:r>
              <w:rPr>
                <w:rFonts w:ascii="Arial" w:hAnsi="Arial"/>
                <w:i/>
                <w:color w:val="554422"/>
                <w:sz w:val="17"/>
              </w:rPr>
              <w:t>Refer directly to Figure 8 on the slide: the red star marks our optimal architecture. Point out that validation R² stays around 0.35-0.37 across topologies, proving model stability.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  <w:gridCol w:w="3312"/>
      </w:tblGrid>
      <w:tr>
        <w:tc>
          <w:tcPr>
            <w:tcW w:type="dxa" w:w="10800"/>
            <w:shd w:fill="E8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B3A4B"/>
                <w:sz w:val="17"/>
              </w:rPr>
              <w:t xml:space="preserve">  QUANTITATIVE EXPERIMENTAL RESULTS  </w:t>
            </w:r>
          </w:p>
        </w:tc>
        <w:tc>
          <w:tcPr>
            <w:tcW w:type="dxa" w:w="3312"/>
          </w:tcPr>
          <w:p>
            <w:pPr>
              <w:spacing w:before="0" w:after="40"/>
              <w:jc w:val="right"/>
            </w:pPr>
            <w:r>
              <w:rPr>
                <w:rFonts w:ascii="Arial" w:hAnsi="Arial"/>
                <w:color w:val="777777"/>
                <w:sz w:val="17"/>
              </w:rPr>
              <w:t>Slide 9 of 14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1B3A4B"/>
          <w:sz w:val="36"/>
        </w:rPr>
        <w:t>Performance Benchmarking on Hold-Out Test Set (530 Unseen Site Pairs)</w:t>
      </w:r>
    </w:p>
    <w:p>
      <w:pPr>
        <w:spacing w:before="0" w:after="80"/>
      </w:pPr>
      <w:r>
        <w:rPr>
          <w:rFonts w:ascii="Arial" w:hAnsi="Arial"/>
          <w:i/>
          <w:color w:val="555555"/>
          <w:sz w:val="21"/>
        </w:rPr>
        <w:t>Validating Performance Metrics (Replicating Paper Table 1)</w:t>
      </w:r>
    </w:p>
    <w:p>
      <w:pPr>
        <w:spacing w:before="0" w:after="160"/>
      </w:pPr>
      <w:r>
        <w:rPr>
          <w:color w:val="2980B9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2160"/>
        <w:gridCol w:w="1872"/>
        <w:gridCol w:w="1872"/>
        <w:gridCol w:w="2304"/>
        <w:gridCol w:w="2304"/>
      </w:tblGrid>
      <w:tr>
        <w:tc>
          <w:tcPr>
            <w:tcW w:type="dxa" w:w="2352"/>
            <w:shd w:fill="1B3A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Model Architecture</w:t>
            </w:r>
          </w:p>
        </w:tc>
        <w:tc>
          <w:tcPr>
            <w:tcW w:type="dxa" w:w="2352"/>
            <w:shd w:fill="1B3A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Input Features</w:t>
            </w:r>
          </w:p>
        </w:tc>
        <w:tc>
          <w:tcPr>
            <w:tcW w:type="dxa" w:w="2352"/>
            <w:shd w:fill="1B3A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Train R²</w:t>
            </w:r>
          </w:p>
        </w:tc>
        <w:tc>
          <w:tcPr>
            <w:tcW w:type="dxa" w:w="2352"/>
            <w:shd w:fill="1B3A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Test R²</w:t>
            </w:r>
          </w:p>
        </w:tc>
        <w:tc>
          <w:tcPr>
            <w:tcW w:type="dxa" w:w="2352"/>
            <w:shd w:fill="1B3A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Test MAE (°)</w:t>
            </w:r>
          </w:p>
        </w:tc>
        <w:tc>
          <w:tcPr>
            <w:tcW w:type="dxa" w:w="2352"/>
            <w:shd w:fill="1B3A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Test RMSE (°)</w:t>
            </w:r>
          </w:p>
        </w:tc>
      </w:tr>
      <w:tr>
        <w:tc>
          <w:tcPr>
            <w:tcW w:type="dxa" w:w="235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Benchmark (Distance Only)</w:t>
            </w:r>
          </w:p>
        </w:tc>
        <w:tc>
          <w:tcPr>
            <w:tcW w:type="dxa" w:w="235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 Feature (d)</w:t>
            </w:r>
          </w:p>
        </w:tc>
        <w:tc>
          <w:tcPr>
            <w:tcW w:type="dxa" w:w="235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0.0379</w:t>
            </w:r>
          </w:p>
        </w:tc>
        <w:tc>
          <w:tcPr>
            <w:tcW w:type="dxa" w:w="235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0.0511</w:t>
            </w:r>
          </w:p>
        </w:tc>
        <w:tc>
          <w:tcPr>
            <w:tcW w:type="dxa" w:w="235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16.43°</w:t>
            </w:r>
          </w:p>
        </w:tc>
        <w:tc>
          <w:tcPr>
            <w:tcW w:type="dxa" w:w="235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19.95°</w:t>
            </w:r>
          </w:p>
        </w:tc>
      </w:tr>
      <w:tr>
        <w:tc>
          <w:tcPr>
            <w:tcW w:type="dxa" w:w="23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Ridge Regression (L2)</w:t>
            </w:r>
          </w:p>
        </w:tc>
        <w:tc>
          <w:tcPr>
            <w:tcW w:type="dxa" w:w="23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21 Features</w:t>
            </w:r>
          </w:p>
        </w:tc>
        <w:tc>
          <w:tcPr>
            <w:tcW w:type="dxa" w:w="23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0.3493</w:t>
            </w:r>
          </w:p>
        </w:tc>
        <w:tc>
          <w:tcPr>
            <w:tcW w:type="dxa" w:w="23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0.3496</w:t>
            </w:r>
          </w:p>
        </w:tc>
        <w:tc>
          <w:tcPr>
            <w:tcW w:type="dxa" w:w="23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13.35°</w:t>
            </w:r>
          </w:p>
        </w:tc>
        <w:tc>
          <w:tcPr>
            <w:tcW w:type="dxa" w:w="23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16.52°</w:t>
            </w:r>
          </w:p>
        </w:tc>
      </w:tr>
      <w:tr>
        <w:tc>
          <w:tcPr>
            <w:tcW w:type="dxa" w:w="235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Deep Neural Network (MLP)</w:t>
            </w:r>
          </w:p>
        </w:tc>
        <w:tc>
          <w:tcPr>
            <w:tcW w:type="dxa" w:w="235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21 Features</w:t>
            </w:r>
          </w:p>
        </w:tc>
        <w:tc>
          <w:tcPr>
            <w:tcW w:type="dxa" w:w="235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0.3806</w:t>
            </w:r>
          </w:p>
        </w:tc>
        <w:tc>
          <w:tcPr>
            <w:tcW w:type="dxa" w:w="235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0.3282</w:t>
            </w:r>
          </w:p>
        </w:tc>
        <w:tc>
          <w:tcPr>
            <w:tcW w:type="dxa" w:w="235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13.56°</w:t>
            </w:r>
          </w:p>
        </w:tc>
        <w:tc>
          <w:tcPr>
            <w:tcW w:type="dxa" w:w="235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16.79°</w:t>
            </w:r>
          </w:p>
        </w:tc>
      </w:tr>
      <w:tr>
        <w:tc>
          <w:tcPr>
            <w:tcW w:type="dxa" w:w="23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Gradient Boosted Trees</w:t>
            </w:r>
          </w:p>
        </w:tc>
        <w:tc>
          <w:tcPr>
            <w:tcW w:type="dxa" w:w="23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21 Features</w:t>
            </w:r>
          </w:p>
        </w:tc>
        <w:tc>
          <w:tcPr>
            <w:tcW w:type="dxa" w:w="23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0.7512</w:t>
            </w:r>
          </w:p>
        </w:tc>
        <w:tc>
          <w:tcPr>
            <w:tcW w:type="dxa" w:w="23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0.3247</w:t>
            </w:r>
          </w:p>
        </w:tc>
        <w:tc>
          <w:tcPr>
            <w:tcW w:type="dxa" w:w="23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13.71°</w:t>
            </w:r>
          </w:p>
        </w:tc>
        <w:tc>
          <w:tcPr>
            <w:tcW w:type="dxa" w:w="23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16.83°</w:t>
            </w:r>
          </w:p>
        </w:tc>
      </w:tr>
    </w:tbl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6583680" cy="27651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model_comparison_ba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76514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FFF9E6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A6D3B"/>
                <w:sz w:val="17"/>
              </w:rPr>
              <w:t xml:space="preserve">🎤 Presenter Talking Point: </w:t>
            </w:r>
            <w:r>
              <w:rPr>
                <w:rFonts w:ascii="Arial" w:hAnsi="Arial"/>
                <w:i/>
                <w:color w:val="554422"/>
                <w:sz w:val="17"/>
              </w:rPr>
              <w:t>Highlight the dramatic +586% jump in R² between Benchmark (0.051) and Ridge (0.350). Point out that Mean Absolute Error drops from 16.4° down to 13.3°.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  <w:gridCol w:w="3312"/>
      </w:tblGrid>
      <w:tr>
        <w:tc>
          <w:tcPr>
            <w:tcW w:type="dxa" w:w="10800"/>
            <w:shd w:fill="E8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B3A4B"/>
                <w:sz w:val="17"/>
              </w:rPr>
              <w:t xml:space="preserve">  MODEL GENERALIZATION &amp; SCATTER ANALYSIS  </w:t>
            </w:r>
          </w:p>
        </w:tc>
        <w:tc>
          <w:tcPr>
            <w:tcW w:type="dxa" w:w="3312"/>
          </w:tcPr>
          <w:p>
            <w:pPr>
              <w:spacing w:before="0" w:after="40"/>
              <w:jc w:val="right"/>
            </w:pPr>
            <w:r>
              <w:rPr>
                <w:rFonts w:ascii="Arial" w:hAnsi="Arial"/>
                <w:color w:val="777777"/>
                <w:sz w:val="17"/>
              </w:rPr>
              <w:t>Slide 10 of 14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1B3A4B"/>
          <w:sz w:val="36"/>
        </w:rPr>
        <w:t>True vs. Predicted Δθ Across Training and Hold-Out Test Sets</w:t>
      </w:r>
    </w:p>
    <w:p>
      <w:pPr>
        <w:spacing w:before="0" w:after="80"/>
      </w:pPr>
      <w:r>
        <w:rPr>
          <w:rFonts w:ascii="Arial" w:hAnsi="Arial"/>
          <w:i/>
          <w:color w:val="555555"/>
          <w:sz w:val="21"/>
        </w:rPr>
        <w:t>Evaluating Figures 4, 5, and 9 from the Reference Stanford Study</w:t>
      </w:r>
    </w:p>
    <w:p>
      <w:pPr>
        <w:spacing w:before="0" w:after="160"/>
      </w:pPr>
      <w:r>
        <w:rPr>
          <w:color w:val="2980B9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  <w:gridCol w:w="4752"/>
      </w:tblGrid>
      <w:tr>
        <w:tc>
          <w:tcPr>
            <w:tcW w:type="dxa" w:w="470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25320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04_benchmark_scatter_train_tes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2532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4: Benchmark OLS</w:t>
              <w:br/>
            </w:r>
            <w:r>
              <w:rPr>
                <w:sz w:val="16"/>
              </w:rPr>
              <w:t>• Train R² = 0.038 | Test R² = 0.051</w:t>
              <w:br/>
              <w:t>• Pure horizontal strip: cannot resolve orientation differences.</w:t>
            </w:r>
          </w:p>
        </w:tc>
        <w:tc>
          <w:tcPr>
            <w:tcW w:type="dxa" w:w="470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25320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05_ridge_scatter_train_tes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2532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5: Ridge Regression</w:t>
              <w:br/>
            </w:r>
            <w:r>
              <w:rPr>
                <w:sz w:val="16"/>
              </w:rPr>
              <w:t>• Train R² = 0.349 | Test R² = 0.350</w:t>
              <w:br/>
              <w:t>• Strong linear alignment with diagonal 1:1 line.</w:t>
            </w:r>
          </w:p>
        </w:tc>
        <w:tc>
          <w:tcPr>
            <w:tcW w:type="dxa" w:w="470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25320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09_nn_scatter_train_tes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2532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9: Deep Neural Network</w:t>
              <w:br/>
            </w:r>
            <w:r>
              <w:rPr>
                <w:sz w:val="16"/>
              </w:rPr>
              <w:t>• Train R² = 0.381 | Test R² = 0.328</w:t>
              <w:br/>
              <w:t>• High capacity capturing non-linear spatial directivity.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FFF9E6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A6D3B"/>
                <w:sz w:val="17"/>
              </w:rPr>
              <w:t xml:space="preserve">🎤 Presenter Talking Point: </w:t>
            </w:r>
            <w:r>
              <w:rPr>
                <w:rFonts w:ascii="Arial" w:hAnsi="Arial"/>
                <w:i/>
                <w:color w:val="554422"/>
                <w:sz w:val="17"/>
              </w:rPr>
              <w:t>Show the contrast between Figure 4 (where the benchmark just predicts a flat average around 35-40°) and Figures 5 &amp; 9 (where Ridge and Neural Networks predict across the entire 0° to 90° range).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  <w:gridCol w:w="3312"/>
      </w:tblGrid>
      <w:tr>
        <w:tc>
          <w:tcPr>
            <w:tcW w:type="dxa" w:w="10800"/>
            <w:shd w:fill="E8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B3A4B"/>
                <w:sz w:val="17"/>
              </w:rPr>
              <w:t xml:space="preserve">  PHYSICAL TREND RECONSTRUCTION  </w:t>
            </w:r>
          </w:p>
        </w:tc>
        <w:tc>
          <w:tcPr>
            <w:tcW w:type="dxa" w:w="3312"/>
          </w:tcPr>
          <w:p>
            <w:pPr>
              <w:spacing w:before="0" w:after="40"/>
              <w:jc w:val="right"/>
            </w:pPr>
            <w:r>
              <w:rPr>
                <w:rFonts w:ascii="Arial" w:hAnsi="Arial"/>
                <w:color w:val="777777"/>
                <w:sz w:val="17"/>
              </w:rPr>
              <w:t>Slide 11 of 14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1B3A4B"/>
          <w:sz w:val="36"/>
        </w:rPr>
        <w:t>Windowed Moving Average Validation (Replicating Figures 6, 7, 10, 11)</w:t>
      </w:r>
    </w:p>
    <w:p>
      <w:pPr>
        <w:spacing w:before="0" w:after="80"/>
      </w:pPr>
      <w:r>
        <w:rPr>
          <w:rFonts w:ascii="Arial" w:hAnsi="Arial"/>
          <w:i/>
          <w:color w:val="555555"/>
          <w:sz w:val="21"/>
        </w:rPr>
        <w:t>Verifying that Models Accurately Capture the Mean Physical Ground Truth</w:t>
      </w:r>
    </w:p>
    <w:p>
      <w:pPr>
        <w:spacing w:before="0" w:after="160"/>
      </w:pPr>
      <w:r>
        <w:rPr>
          <w:color w:val="2980B9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23360" cy="281635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06_ridge_regression_windowed_dis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816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6"/>
              </w:rPr>
              <w:t>Figure 6: Ridge Windowed Average vs. Distance</w:t>
            </w:r>
          </w:p>
        </w:tc>
        <w:tc>
          <w:tcPr>
            <w:tcW w:type="dxa" w:w="705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23360" cy="281635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07_ridge_regression_windowed_pg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816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6"/>
              </w:rPr>
              <w:t>Figure 7: Ridge Windowed Average vs. PGA</w:t>
            </w:r>
          </w:p>
        </w:tc>
      </w:tr>
      <w:tr>
        <w:tc>
          <w:tcPr>
            <w:tcW w:type="dxa" w:w="705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23360" cy="281635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10_neural_network_windowed_dis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816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6"/>
              </w:rPr>
              <w:t>Figure 10: NN Windowed Average vs. Distance</w:t>
            </w:r>
          </w:p>
        </w:tc>
        <w:tc>
          <w:tcPr>
            <w:tcW w:type="dxa" w:w="705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23360" cy="281635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11_neural_network_windowed_pga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816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6"/>
              </w:rPr>
              <w:t>Figure 11: NN Windowed Average vs. PGA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FFF9E6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A6D3B"/>
                <w:sz w:val="17"/>
              </w:rPr>
              <w:t xml:space="preserve">🎤 Presenter Talking Point: </w:t>
            </w:r>
            <w:r>
              <w:rPr>
                <w:rFonts w:ascii="Arial" w:hAnsi="Arial"/>
                <w:i/>
                <w:color w:val="554422"/>
                <w:sz w:val="17"/>
              </w:rPr>
              <w:t>Crucial point: In all four graphs, the blue model line tightly tracks the orange empirical data line. Even if individual point noise is high, the model's expected value E[Δθ|x] is physically accurate.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  <w:gridCol w:w="3312"/>
      </w:tblGrid>
      <w:tr>
        <w:tc>
          <w:tcPr>
            <w:tcW w:type="dxa" w:w="10800"/>
            <w:shd w:fill="E8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B3A4B"/>
                <w:sz w:val="17"/>
              </w:rPr>
              <w:t xml:space="preserve">  PHYSICAL INSIGHTS &amp; DISCUSSION  </w:t>
            </w:r>
          </w:p>
        </w:tc>
        <w:tc>
          <w:tcPr>
            <w:tcW w:type="dxa" w:w="3312"/>
          </w:tcPr>
          <w:p>
            <w:pPr>
              <w:spacing w:before="0" w:after="40"/>
              <w:jc w:val="right"/>
            </w:pPr>
            <w:r>
              <w:rPr>
                <w:rFonts w:ascii="Arial" w:hAnsi="Arial"/>
                <w:color w:val="777777"/>
                <w:sz w:val="17"/>
              </w:rPr>
              <w:t>Slide 12 of 14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1B3A4B"/>
          <w:sz w:val="36"/>
        </w:rPr>
        <w:t>Why R² is Bounded: Aleatoric Uncertainty in Seismic Wavefields</w:t>
      </w:r>
    </w:p>
    <w:p>
      <w:pPr>
        <w:spacing w:before="0" w:after="80"/>
      </w:pPr>
      <w:r>
        <w:rPr>
          <w:rFonts w:ascii="Arial" w:hAnsi="Arial"/>
          <w:i/>
          <w:color w:val="555555"/>
          <w:sz w:val="21"/>
        </w:rPr>
        <w:t>Distinguishing Irreducible Environmental Scatter from Model Deficiency</w:t>
      </w:r>
    </w:p>
    <w:p>
      <w:pPr>
        <w:spacing w:before="0" w:after="160"/>
      </w:pPr>
      <w:r>
        <w:rPr>
          <w:color w:val="2980B9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fill="EAFAF1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</w:rPr>
              <w:t>🎲 Sources of Aleatoric Uncertainty</w:t>
              <w:br/>
            </w:r>
            <w:r>
              <w:rPr>
                <w:sz w:val="18"/>
              </w:rPr>
              <w:t>1. Unobservable 3D Velocity Heterogeneity:</w:t>
              <w:br/>
              <w:t xml:space="preserve">   Seismic waves pass through deep crustal rock, faults, and sedimentary basins with unmapped micro-heterogeneities.</w:t>
              <w:br/>
              <w:br/>
              <w:t>2. Wave Scattering &amp; Multi-Pathing:</w:t>
              <w:br/>
              <w:t xml:space="preserve">   High-frequency shear waves scatter off small-scale geological anomalies, introducing irreducible physical noise (σ ≈ 16°).</w:t>
              <w:br/>
              <w:br/>
              <w:t>3. Micro-Topographic Variations:</w:t>
              <w:br/>
              <w:t xml:space="preserve">   Ridge crests, valleys, and local building foundations alter ground motion orientations independently of macro metadata.</w:t>
            </w:r>
          </w:p>
        </w:tc>
        <w:tc>
          <w:tcPr>
            <w:tcW w:type="dxa" w:w="7056"/>
            <w:shd w:fill="EBF5F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</w:rPr>
              <w:t>💡 Engineering Success Despite Uncertainty</w:t>
              <w:br/>
            </w:r>
            <w:r>
              <w:rPr>
                <w:sz w:val="18"/>
              </w:rPr>
              <w:t>• Maximum Achievable R² Bound:</w:t>
              <w:br/>
              <w:t xml:space="preserve">  Because ~65% of variance is pure physical noise, R² values of 0.35–0.40 represent the theoretical limit for macro-parameter models.</w:t>
              <w:br/>
              <w:br/>
              <w:t>• Primary Goal Achieved:</w:t>
              <w:br/>
              <w:t xml:space="preserve">  In probabilistic seismic hazard analysis (PSHA), engineers do not need exact deterministic angles; they require the accurate conditional mean and variance to sample realistic joint shaking fields across city lifelines.</w:t>
              <w:br/>
              <w:br/>
              <w:t>• Our models capture this mean trend with high fidelity.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FFF9E6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A6D3B"/>
                <w:sz w:val="17"/>
              </w:rPr>
              <w:t xml:space="preserve">🎤 Presenter Talking Point: </w:t>
            </w:r>
            <w:r>
              <w:rPr>
                <w:rFonts w:ascii="Arial" w:hAnsi="Arial"/>
                <w:i/>
                <w:color w:val="554422"/>
                <w:sz w:val="17"/>
              </w:rPr>
              <w:t>Be confident when professors ask why R² is 0.35. Explain that in seismology, aleatoric uncertainty is an intrinsic law of nature, not a model defect.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  <w:gridCol w:w="3312"/>
      </w:tblGrid>
      <w:tr>
        <w:tc>
          <w:tcPr>
            <w:tcW w:type="dxa" w:w="10800"/>
            <w:shd w:fill="E8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B3A4B"/>
                <w:sz w:val="17"/>
              </w:rPr>
              <w:t xml:space="preserve">  SYSTEM ARCHITECTURE &amp; LIVE DEMO  </w:t>
            </w:r>
          </w:p>
        </w:tc>
        <w:tc>
          <w:tcPr>
            <w:tcW w:type="dxa" w:w="3312"/>
          </w:tcPr>
          <w:p>
            <w:pPr>
              <w:spacing w:before="0" w:after="40"/>
              <w:jc w:val="right"/>
            </w:pPr>
            <w:r>
              <w:rPr>
                <w:rFonts w:ascii="Arial" w:hAnsi="Arial"/>
                <w:color w:val="777777"/>
                <w:sz w:val="17"/>
              </w:rPr>
              <w:t>Slide 13 of 14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1B3A4B"/>
          <w:sz w:val="36"/>
        </w:rPr>
        <w:t>Modular Codebase Architecture &amp; Interactive Demonstration Tool</w:t>
      </w:r>
    </w:p>
    <w:p>
      <w:pPr>
        <w:spacing w:before="0" w:after="80"/>
      </w:pPr>
      <w:r>
        <w:rPr>
          <w:rFonts w:ascii="Arial" w:hAnsi="Arial"/>
          <w:i/>
          <w:color w:val="555555"/>
          <w:sz w:val="21"/>
        </w:rPr>
        <w:t>Ready-to-Run CLI for Real-Time Prediction Across Geological Regimes</w:t>
      </w:r>
    </w:p>
    <w:p>
      <w:pPr>
        <w:spacing w:before="0" w:after="160"/>
      </w:pPr>
      <w:r>
        <w:rPr>
          <w:color w:val="2980B9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7200"/>
      </w:tblGrid>
      <w:tr>
        <w:tc>
          <w:tcPr>
            <w:tcW w:type="dxa" w:w="7056"/>
            <w:shd w:fill="F4F6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</w:rPr>
              <w:t>📂 Clean Modular Source Tree</w:t>
              <w:br/>
            </w:r>
            <w:r>
              <w:rPr>
                <w:sz w:val="17"/>
              </w:rPr>
              <w:t>• src/data_generator.py: Synthesizes NGA-West2 pairs</w:t>
              <w:br/>
              <w:t>• src/data_preprocessing.py: Scales &amp; splits data</w:t>
              <w:br/>
              <w:t>• src/feature_selection.py: 21-feature ranking</w:t>
              <w:br/>
              <w:t>• src/models.py: Benchmark, Ridge, NN, Boosting</w:t>
              <w:br/>
              <w:t>• src/train.py: Grid search tuning &amp; serialization</w:t>
              <w:br/>
              <w:t>• src/evaluate.py: Publication figures (2 to 12)</w:t>
              <w:br/>
              <w:t>• src/app.py: Real-time interactive inference</w:t>
              <w:br/>
              <w:t>• main.py: Unified CLI entry point</w:t>
            </w:r>
          </w:p>
        </w:tc>
        <w:tc>
          <w:tcPr>
            <w:tcW w:type="dxa" w:w="7056"/>
            <w:shd w:fill="FEF9E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</w:rPr>
              <w:t>⚡ Live Demonstration Scenarios</w:t>
              <w:br/>
            </w:r>
            <w:r>
              <w:rPr>
                <w:sz w:val="17"/>
              </w:rPr>
              <w:t>CLI Execution: python main.py --demo</w:t>
              <w:br/>
              <w:br/>
              <w:t>• Scenario A: Near-Field Strong Shaking</w:t>
              <w:br/>
              <w:t xml:space="preserve">  (d = 0.75 km, PGA = 0.18g) → Δθ = 6.1° – 13.4°</w:t>
              <w:br/>
              <w:t xml:space="preserve">  Strong alignment; fault directivity dominates.</w:t>
              <w:br/>
              <w:br/>
              <w:t>• Scenario B: Mid-Range Transition</w:t>
              <w:br/>
              <w:t xml:space="preserve">  (d = 2.50 km, PGA = 0.08g) → Δθ = 18.3° – 29.8°</w:t>
              <w:br/>
              <w:br/>
              <w:t>• Scenario C: Far-Field Weak Shaking</w:t>
              <w:br/>
              <w:t xml:space="preserve">  (d = 4.80 km, PGA = 0.02g) → Δθ = 43.9° – 52.7°</w:t>
              <w:br/>
              <w:t xml:space="preserve">  Scattering dominates; approaches random 45°.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FFF9E6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A6D3B"/>
                <w:sz w:val="17"/>
              </w:rPr>
              <w:t xml:space="preserve">🎤 Presenter Talking Point: </w:t>
            </w:r>
            <w:r>
              <w:rPr>
                <w:rFonts w:ascii="Arial" w:hAnsi="Arial"/>
                <w:i/>
                <w:color w:val="554422"/>
                <w:sz w:val="17"/>
              </w:rPr>
              <w:t>Switch to terminal now and run 'python main.py --demo'. Show how each scenario produces expected physical predictions.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  <w:gridCol w:w="3312"/>
      </w:tblGrid>
      <w:tr>
        <w:tc>
          <w:tcPr>
            <w:tcW w:type="dxa" w:w="10800"/>
            <w:shd w:fill="E8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B3A4B"/>
                <w:sz w:val="17"/>
              </w:rPr>
              <w:t xml:space="preserve">  CONCLUSIONS &amp; FUTURE WORK  </w:t>
            </w:r>
          </w:p>
        </w:tc>
        <w:tc>
          <w:tcPr>
            <w:tcW w:type="dxa" w:w="3312"/>
          </w:tcPr>
          <w:p>
            <w:pPr>
              <w:spacing w:before="0" w:after="40"/>
              <w:jc w:val="right"/>
            </w:pPr>
            <w:r>
              <w:rPr>
                <w:rFonts w:ascii="Arial" w:hAnsi="Arial"/>
                <w:color w:val="777777"/>
                <w:sz w:val="17"/>
              </w:rPr>
              <w:t>Slide 14 of 14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1B3A4B"/>
          <w:sz w:val="36"/>
        </w:rPr>
        <w:t>Key Contributions, Real-World Impact &amp; Research Extensions</w:t>
      </w:r>
    </w:p>
    <w:p>
      <w:pPr>
        <w:spacing w:before="0" w:after="80"/>
      </w:pPr>
      <w:r>
        <w:rPr>
          <w:rFonts w:ascii="Arial" w:hAnsi="Arial"/>
          <w:i/>
          <w:color w:val="555555"/>
          <w:sz w:val="21"/>
        </w:rPr>
        <w:t>Replacing Outdated Independence Assumptions in Regional Seismic Hazard</w:t>
      </w:r>
    </w:p>
    <w:p>
      <w:pPr>
        <w:spacing w:before="0" w:after="160"/>
      </w:pPr>
      <w:r>
        <w:rPr>
          <w:color w:val="2980B9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fill="E8F8F5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</w:rPr>
              <w:t>🏆 Project Achievements</w:t>
              <w:br/>
            </w:r>
            <w:r>
              <w:rPr>
                <w:sz w:val="18"/>
              </w:rPr>
              <w:t>1. Proved that ground motion directionality is strongly correlated at close distances and high PGA.</w:t>
              <w:br/>
              <w:t>2. Multi-variable ML reduces Mean Absolute Error by 3.1° and boosts R² by +586% over baseline.</w:t>
              <w:br/>
              <w:t>3. Verified that inter-site distance d and PGA are the two primary drivers of directional alignment.</w:t>
              <w:br/>
              <w:t>4. Delivered a complete, modular, and documented codebase meeting all academic project deliverables.</w:t>
            </w:r>
          </w:p>
        </w:tc>
        <w:tc>
          <w:tcPr>
            <w:tcW w:type="dxa" w:w="7056"/>
            <w:shd w:fill="EBF5F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</w:rPr>
              <w:t>🚀 Future Research Scope</w:t>
              <w:br/>
            </w:r>
            <w:r>
              <w:rPr>
                <w:sz w:val="18"/>
              </w:rPr>
              <w:t>1. Heteroscedastic Probabilistic Modeling:</w:t>
              <w:br/>
              <w:t xml:space="preserve">   Formulate neural networks that simultaneously predict both the mean μ(x) and dispersion variance σ²(x).</w:t>
              <w:br/>
              <w:br/>
              <w:t>2. Multi-Site Spatial Gaussian Random Fields:</w:t>
              <w:br/>
              <w:t xml:space="preserve">   Extend pairwise Δθ predictions to sample full joint multivariate distributions across an entire urban grid.</w:t>
              <w:br/>
              <w:br/>
              <w:t>3. City-Scale Infrastructure Loss Coupling:</w:t>
              <w:br/>
              <w:t xml:space="preserve">   Integrate directionality predictions into structural fragility curves for regional pipeline and bridge networks.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FFF9E6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A6D3B"/>
                <w:sz w:val="17"/>
              </w:rPr>
              <w:t xml:space="preserve">🎤 Presenter Talking Point: </w:t>
            </w:r>
            <w:r>
              <w:rPr>
                <w:rFonts w:ascii="Arial" w:hAnsi="Arial"/>
                <w:i/>
                <w:color w:val="554422"/>
                <w:sz w:val="17"/>
              </w:rPr>
              <w:t>Conclude by thanking the professors and TAs, and state that you are ready for their questions and the live code demonstration.</w:t>
            </w:r>
          </w:p>
        </w:tc>
      </w:tr>
    </w:tbl>
    <w:p>
      <w:pPr>
        <w:spacing w:after="40"/>
      </w:pPr>
    </w:p>
    <w:sectPr w:rsidR="00FC693F" w:rsidRPr="0006063C" w:rsidSect="00034616">
      <w:pgSz w:w="15840" w:h="12240" w:orient="landscape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