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04 October Assignment:</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Html code and output:</w:t>
      </w:r>
    </w:p>
    <w:p w:rsidR="00000000" w:rsidDel="00000000" w:rsidP="00000000" w:rsidRDefault="00000000" w:rsidRPr="00000000" w14:paraId="00000004">
      <w:pPr>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By clicking on image or heading or paragraph it will navigate to wikipedia page in new tab.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Seven_Wonders_of_World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"https://en.wikipedia.org/wiki/Taj_Mahal"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"../assets/images/tajmahal.jpg"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"Tajmahal"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200px; width: 200px"</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Tajmahal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Taj Mahal is an ivory-white marble mausoleum on the right bank of the river Yamuna in Agra, Uttar Pradesh, India. It was commissioned in 1631 by the fifth Mughal emperor, Shah Jahan (r. 1628–1658) to house the tomb of his beloved wife, Mumtaz Mahal;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"https://en.wikipedia.org/wiki/Great_Wall_of_China"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"../assets/images/great wall of china.jpg"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"Great wall of 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200px; width: 200px;"</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Great wall of china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Great Wall of China is a series of fortifications that were built across the historical northern borders of ancient Chinese states and Imperial China as protection against various nomadic groups from the Eurasian Steppe.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7253288" cy="5057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5328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796088" cy="4124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6088" cy="4124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