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6"/>
        </w:rPr>
        <w:t>VELLORE INSTITUTE OF TECHNOLOGY</w:t>
      </w:r>
    </w:p>
    <w:p>
      <w:pPr>
        <w:jc w:val="center"/>
      </w:pPr>
      <w:r>
        <w:rPr>
          <w:b/>
          <w:color w:val="8A5A1E"/>
          <w:sz w:val="52"/>
        </w:rPr>
        <w:br/>
        <w:t>Architect Intelligence Platform</w:t>
      </w:r>
    </w:p>
    <w:p>
      <w:pPr>
        <w:jc w:val="center"/>
      </w:pPr>
      <w:r>
        <w:rPr>
          <w:color w:val="1A1A1A"/>
          <w:sz w:val="26"/>
        </w:rPr>
        <w:t>An explainable multi-agent system for architectural design,</w:t>
        <w:br/>
        <w:t>Vastu reasoning and cost prediction</w:t>
      </w:r>
    </w:p>
    <w:p>
      <w:pPr>
        <w:jc w:val="center"/>
      </w:pPr>
      <w:r>
        <w:rPr>
          <w:i/>
          <w:color w:val="555555"/>
          <w:sz w:val="19"/>
        </w:rPr>
        <w:br/>
        <w:t>Phase 1 Project Report  ·  Review 1</w:t>
        <w:br/>
        <w:t>Every figure in this document was measured from the running system on 01 September 2026.</w:t>
      </w:r>
    </w:p>
    <w:p>
      <w:r>
        <w:br w:type="page"/>
      </w:r>
    </w:p>
    <w:p>
      <w:pPr>
        <w:pStyle w:val="Heading1"/>
      </w:pPr>
      <w:r>
        <w:t>Implementation Status</w:t>
      </w:r>
    </w:p>
    <w:p>
      <w:r>
        <w:rPr>
          <w:i w:val="0"/>
        </w:rPr>
        <w:t>This report describes a system that exists and runs. It is not a proposal for work to be undertaken. The three innovations requested in the abstract review have been implemented, integrated into the running pipeline, and covered by automated tests; this section states plainly what is built, what is measured, and what is deliberately out of scope, so that the remainder of the report can be read against a known baseline.</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9"/>
              </w:rPr>
              <w:t>Component</w:t>
            </w:r>
          </w:p>
        </w:tc>
        <w:tc>
          <w:tcPr>
            <w:tcW w:type="dxa" w:w="3168"/>
          </w:tcPr>
          <w:p>
            <w:r/>
            <w:r>
              <w:rPr>
                <w:b/>
                <w:sz w:val="19"/>
              </w:rPr>
              <w:t>Status</w:t>
            </w:r>
          </w:p>
        </w:tc>
        <w:tc>
          <w:tcPr>
            <w:tcW w:type="dxa" w:w="3168"/>
          </w:tcPr>
          <w:p>
            <w:r/>
            <w:r>
              <w:rPr>
                <w:b/>
                <w:sz w:val="19"/>
              </w:rPr>
              <w:t>Evidence in this report</w:t>
            </w:r>
          </w:p>
        </w:tc>
      </w:tr>
      <w:tr>
        <w:tc>
          <w:tcPr>
            <w:tcW w:type="dxa" w:w="3168"/>
          </w:tcPr>
          <w:p>
            <w:r/>
            <w:r>
              <w:rPr>
                <w:sz w:val="19"/>
              </w:rPr>
              <w:t>Multi-Agent Consensus Protocol</w:t>
            </w:r>
          </w:p>
        </w:tc>
        <w:tc>
          <w:tcPr>
            <w:tcW w:type="dxa" w:w="3168"/>
          </w:tcPr>
          <w:p>
            <w:r/>
            <w:r>
              <w:rPr>
                <w:sz w:val="19"/>
              </w:rPr>
              <w:t>Built and integrated</w:t>
            </w:r>
          </w:p>
        </w:tc>
        <w:tc>
          <w:tcPr>
            <w:tcW w:type="dxa" w:w="3168"/>
          </w:tcPr>
          <w:p>
            <w:r/>
            <w:r>
              <w:rPr>
                <w:sz w:val="19"/>
              </w:rPr>
              <w:t>§4.2, §5.3 — live transcript, 7 constraints, 4 worker agents</w:t>
            </w:r>
          </w:p>
        </w:tc>
      </w:tr>
      <w:tr>
        <w:tc>
          <w:tcPr>
            <w:tcW w:type="dxa" w:w="3168"/>
          </w:tcPr>
          <w:p>
            <w:r/>
            <w:r>
              <w:rPr>
                <w:sz w:val="19"/>
              </w:rPr>
              <w:t>Vastu Knowledge Graph and reasoner</w:t>
            </w:r>
          </w:p>
        </w:tc>
        <w:tc>
          <w:tcPr>
            <w:tcW w:type="dxa" w:w="3168"/>
          </w:tcPr>
          <w:p>
            <w:r/>
            <w:r>
              <w:rPr>
                <w:sz w:val="19"/>
              </w:rPr>
              <w:t>Built and integrated</w:t>
            </w:r>
          </w:p>
        </w:tc>
        <w:tc>
          <w:tcPr>
            <w:tcW w:type="dxa" w:w="3168"/>
          </w:tcPr>
          <w:p>
            <w:r/>
            <w:r>
              <w:rPr>
                <w:sz w:val="19"/>
              </w:rPr>
              <w:t>§4.4, §5.4 — 98 nodes, 255 edges, 5.16× coverage</w:t>
            </w:r>
          </w:p>
        </w:tc>
      </w:tr>
      <w:tr>
        <w:tc>
          <w:tcPr>
            <w:tcW w:type="dxa" w:w="3168"/>
          </w:tcPr>
          <w:p>
            <w:r/>
            <w:r>
              <w:rPr>
                <w:sz w:val="19"/>
              </w:rPr>
              <w:t>Vectorised constraint floor-plan generation</w:t>
            </w:r>
          </w:p>
        </w:tc>
        <w:tc>
          <w:tcPr>
            <w:tcW w:type="dxa" w:w="3168"/>
          </w:tcPr>
          <w:p>
            <w:r/>
            <w:r>
              <w:rPr>
                <w:sz w:val="19"/>
              </w:rPr>
              <w:t>Built and integrated</w:t>
            </w:r>
          </w:p>
        </w:tc>
        <w:tc>
          <w:tcPr>
            <w:tcW w:type="dxa" w:w="3168"/>
          </w:tcPr>
          <w:p>
            <w:r/>
            <w:r>
              <w:rPr>
                <w:sz w:val="19"/>
              </w:rPr>
              <w:t>§4.8, §5.5 — SVG, DXF and JSON geometry, verified in a CAD library</w:t>
            </w:r>
          </w:p>
        </w:tc>
      </w:tr>
      <w:tr>
        <w:tc>
          <w:tcPr>
            <w:tcW w:type="dxa" w:w="3168"/>
          </w:tcPr>
          <w:p>
            <w:r/>
            <w:r>
              <w:rPr>
                <w:sz w:val="19"/>
              </w:rPr>
              <w:t>Building-code compliance (NBC 2016)</w:t>
            </w:r>
          </w:p>
        </w:tc>
        <w:tc>
          <w:tcPr>
            <w:tcW w:type="dxa" w:w="3168"/>
          </w:tcPr>
          <w:p>
            <w:r/>
            <w:r>
              <w:rPr>
                <w:sz w:val="19"/>
              </w:rPr>
              <w:t>Built</w:t>
            </w:r>
          </w:p>
        </w:tc>
        <w:tc>
          <w:tcPr>
            <w:tcW w:type="dxa" w:w="3168"/>
          </w:tcPr>
          <w:p>
            <w:r/>
            <w:r>
              <w:rPr>
                <w:sz w:val="19"/>
              </w:rPr>
              <w:t>§4.3</w:t>
            </w:r>
          </w:p>
        </w:tc>
      </w:tr>
      <w:tr>
        <w:tc>
          <w:tcPr>
            <w:tcW w:type="dxa" w:w="3168"/>
          </w:tcPr>
          <w:p>
            <w:r/>
            <w:r>
              <w:rPr>
                <w:sz w:val="19"/>
              </w:rPr>
              <w:t>Cost estimation (CPWD-convention rates)</w:t>
            </w:r>
          </w:p>
        </w:tc>
        <w:tc>
          <w:tcPr>
            <w:tcW w:type="dxa" w:w="3168"/>
          </w:tcPr>
          <w:p>
            <w:r/>
            <w:r>
              <w:rPr>
                <w:sz w:val="19"/>
              </w:rPr>
              <w:t>Built</w:t>
            </w:r>
          </w:p>
        </w:tc>
        <w:tc>
          <w:tcPr>
            <w:tcW w:type="dxa" w:w="3168"/>
          </w:tcPr>
          <w:p>
            <w:r/>
            <w:r>
              <w:rPr>
                <w:sz w:val="19"/>
              </w:rPr>
              <w:t>§4.5</w:t>
            </w:r>
          </w:p>
        </w:tc>
      </w:tr>
      <w:tr>
        <w:tc>
          <w:tcPr>
            <w:tcW w:type="dxa" w:w="3168"/>
          </w:tcPr>
          <w:p>
            <w:r/>
            <w:r>
              <w:rPr>
                <w:sz w:val="19"/>
              </w:rPr>
              <w:t>Interior layout and furniture placement</w:t>
            </w:r>
          </w:p>
        </w:tc>
        <w:tc>
          <w:tcPr>
            <w:tcW w:type="dxa" w:w="3168"/>
          </w:tcPr>
          <w:p>
            <w:r/>
            <w:r>
              <w:rPr>
                <w:sz w:val="19"/>
              </w:rPr>
              <w:t>Built</w:t>
            </w:r>
          </w:p>
        </w:tc>
        <w:tc>
          <w:tcPr>
            <w:tcW w:type="dxa" w:w="3168"/>
          </w:tcPr>
          <w:p>
            <w:r/>
            <w:r>
              <w:rPr>
                <w:sz w:val="19"/>
              </w:rPr>
              <w:t>§4.6</w:t>
            </w:r>
          </w:p>
        </w:tc>
      </w:tr>
      <w:tr>
        <w:tc>
          <w:tcPr>
            <w:tcW w:type="dxa" w:w="3168"/>
          </w:tcPr>
          <w:p>
            <w:r/>
            <w:r>
              <w:rPr>
                <w:sz w:val="19"/>
              </w:rPr>
              <w:t>3D model export and walkthrough</w:t>
            </w:r>
          </w:p>
        </w:tc>
        <w:tc>
          <w:tcPr>
            <w:tcW w:type="dxa" w:w="3168"/>
          </w:tcPr>
          <w:p>
            <w:r/>
            <w:r>
              <w:rPr>
                <w:sz w:val="19"/>
              </w:rPr>
              <w:t>Built</w:t>
            </w:r>
          </w:p>
        </w:tc>
        <w:tc>
          <w:tcPr>
            <w:tcW w:type="dxa" w:w="3168"/>
          </w:tcPr>
          <w:p>
            <w:r/>
            <w:r>
              <w:rPr>
                <w:sz w:val="19"/>
              </w:rPr>
              <w:t>§4.9 — GLB and OBJ</w:t>
            </w:r>
          </w:p>
        </w:tc>
      </w:tr>
      <w:tr>
        <w:tc>
          <w:tcPr>
            <w:tcW w:type="dxa" w:w="3168"/>
          </w:tcPr>
          <w:p>
            <w:r/>
            <w:r>
              <w:rPr>
                <w:sz w:val="19"/>
              </w:rPr>
              <w:t>Embeddable client widget</w:t>
            </w:r>
          </w:p>
        </w:tc>
        <w:tc>
          <w:tcPr>
            <w:tcW w:type="dxa" w:w="3168"/>
          </w:tcPr>
          <w:p>
            <w:r/>
            <w:r>
              <w:rPr>
                <w:sz w:val="19"/>
              </w:rPr>
              <w:t>Built</w:t>
            </w:r>
          </w:p>
        </w:tc>
        <w:tc>
          <w:tcPr>
            <w:tcW w:type="dxa" w:w="3168"/>
          </w:tcPr>
          <w:p>
            <w:r/>
            <w:r>
              <w:rPr>
                <w:sz w:val="19"/>
              </w:rPr>
              <w:t>§4.1</w:t>
            </w:r>
          </w:p>
        </w:tc>
      </w:tr>
      <w:tr>
        <w:tc>
          <w:tcPr>
            <w:tcW w:type="dxa" w:w="3168"/>
          </w:tcPr>
          <w:p>
            <w:r/>
            <w:r>
              <w:rPr>
                <w:sz w:val="19"/>
              </w:rPr>
              <w:t>Photorealistic texture rendering</w:t>
            </w:r>
          </w:p>
        </w:tc>
        <w:tc>
          <w:tcPr>
            <w:tcW w:type="dxa" w:w="3168"/>
          </w:tcPr>
          <w:p>
            <w:r/>
            <w:r>
              <w:rPr>
                <w:sz w:val="19"/>
              </w:rPr>
              <w:t>Not implemented</w:t>
            </w:r>
          </w:p>
        </w:tc>
        <w:tc>
          <w:tcPr>
            <w:tcW w:type="dxa" w:w="3168"/>
          </w:tcPr>
          <w:p>
            <w:r/>
            <w:r>
              <w:rPr>
                <w:sz w:val="19"/>
              </w:rPr>
              <w:t>§1.6 — scope decision, stated rather than implied</w:t>
            </w:r>
          </w:p>
        </w:tc>
      </w:tr>
    </w:tbl>
    <w:p/>
    <w:p>
      <w:r>
        <w:rPr>
          <w:i w:val="0"/>
          <w:color w:val="555555"/>
          <w:sz w:val="20"/>
        </w:rPr>
        <w:t>The implementation is 21,189 lines of Python across 57 modules, with an automated test suite that also asserts the platform's zero-cost property: the suite runs with no model provider configured, proving that geometry, building physics, code compliance, Vastu reasoning and quantity takeoff are independent of any paid API.</w:t>
      </w:r>
    </w:p>
    <w:p>
      <w:r>
        <w:br w:type="page"/>
      </w:r>
    </w:p>
    <w:p>
      <w:pPr>
        <w:pStyle w:val="Heading1"/>
      </w:pPr>
      <w:r>
        <w:t>1. Introduction</w:t>
      </w:r>
    </w:p>
    <w:p>
      <w:pPr>
        <w:pStyle w:val="Heading2"/>
      </w:pPr>
      <w:r>
        <w:t>1.1 Overview</w:t>
      </w:r>
    </w:p>
    <w:p>
      <w:r>
        <w:rPr>
          <w:i w:val="0"/>
        </w:rPr>
        <w:t>Architectural and interior design in India remains a manual, expert-mediated workflow. An architect interprets a verbal brief, sketches a layout, checks it against Vastu Shastra by hand, estimates cost separately in a spreadsheet, and iterates across several client meetings before a concept is agreed. Each step sits in a different tool or a different person's head, which stretches timelines, inflates cost, and makes the outcome dependent on the availability of a small number of experts.</w:t>
      </w:r>
    </w:p>
    <w:p>
      <w:r>
        <w:rPr>
          <w:i w:val="0"/>
        </w:rPr>
        <w:t>The Architect Intelligence Platform (AIP) brings floor-plan generation, building-code compliance, Vastu reasoning, interior planning and cost estimation into a single pipeline in which specialist agents negotiate with each other until a shared set of constraints is satisfied. It runs on a laptop, needs no GPU, and can be embedded directly into a practice's own website as a client-facing tool.</w:t>
      </w:r>
    </w:p>
    <w:p>
      <w:pPr>
        <w:pStyle w:val="Heading2"/>
      </w:pPr>
      <w:r>
        <w:t>1.2 Problem Statement</w:t>
      </w:r>
    </w:p>
    <w:p>
      <w:r>
        <w:rPr>
          <w:i w:val="0"/>
        </w:rPr>
        <w:t>Existing AI tools for architecture automate one stage in isolation — a floor-plan generator, a room visualiser, a cost calculator — with no shared reasoning between stages and no mechanism to explain why a particular layout was produced. Outputs are frequently raster images from a diffusion model or a U-Net: they look plausible but are not architecturally viable. Walls are not uniformly thick, rooms are not rectilinear, doors do not align with circulation, and no verifiable link exists between the generated image and the building code or Vastu rule it is supposed to satisfy.</w:t>
      </w:r>
    </w:p>
    <w:p>
      <w:r>
        <w:rPr>
          <w:i w:val="0"/>
        </w:rPr>
        <w:t>The deeper problem is that the reasoning lives implicitly inside network weights rather than in a structure anyone can inspect. Neither the architect nor the client can audit why a decision was made. In a domain where statutory compliance and client sign-off both matter, that is not a presentation flaw; it is a disqualifying one.</w:t>
      </w:r>
    </w:p>
    <w:p>
      <w:pPr>
        <w:pStyle w:val="Heading2"/>
      </w:pPr>
      <w:r>
        <w:t>1.3 Objectives</w:t>
      </w:r>
    </w:p>
    <w:p>
      <w:pPr>
        <w:pStyle w:val="ListNumber"/>
      </w:pPr>
      <w:r>
        <w:t>Orchestrate specialised agents for floor planning, Vastu compliance, cost estimation and interior design that iteratively negotiate a single design until a shared set of hard constraints is satisfied, rather than producing one forward pass and stopping.</w:t>
      </w:r>
    </w:p>
    <w:p>
      <w:pPr>
        <w:pStyle w:val="ListNumber"/>
      </w:pPr>
      <w:r>
        <w:t>Represent Vastu Shastra as a formal, queryable knowledge graph rather than free-text retrieval, so that compliance is deterministic, reproducible and traceable to a specific derivation.</w:t>
      </w:r>
    </w:p>
    <w:p>
      <w:pPr>
        <w:pStyle w:val="ListNumber"/>
      </w:pPr>
      <w:r>
        <w:t>Generate floor plans as editable vector geometry convertible to CAD, so that outputs are dimensionally exact and usable in the software a practice already owns.</w:t>
      </w:r>
    </w:p>
    <w:p>
      <w:pPr>
        <w:pStyle w:val="ListNumber"/>
      </w:pPr>
      <w:r>
        <w:t>Produce a human-readable justification alongside every recommendation, grounded in the graph derivation, the negotiation transcript and the retrieval provenance actually used.</w:t>
      </w:r>
    </w:p>
    <w:p>
      <w:pPr>
        <w:pStyle w:val="ListNumber"/>
      </w:pPr>
      <w:r>
        <w:t>Package the system so an architecture firm can embed it on its own website at no running cost.</w:t>
      </w:r>
    </w:p>
    <w:p>
      <w:pPr>
        <w:pStyle w:val="Heading2"/>
      </w:pPr>
      <w:r>
        <w:t>1.4 Significance</w:t>
      </w:r>
    </w:p>
    <w:p>
      <w:r>
        <w:rPr>
          <w:i w:val="0"/>
        </w:rPr>
        <w:t>For a practice, AIP shortens the number of manual consultation cycles before a client-approved concept is reached, and makes Vastu and cost checks an automatic by-product of design generation rather than separate manual tasks. For a client, it offers a way to explore options and see the reasoning behind each one before engaging an architect for detailed drafting. For the field, it is a concrete case study in applying negotiation-based multi-agent orchestration and structured knowledge-graph reasoning to a domain where existing AI tools remain single-task and image-based.</w:t>
      </w:r>
    </w:p>
    <w:p>
      <w:pPr>
        <w:pStyle w:val="Heading2"/>
      </w:pPr>
      <w:r>
        <w:t>1.5 Modifications Made Based on Abstract Feedback</w:t>
      </w:r>
    </w:p>
    <w:p>
      <w:r>
        <w:rPr>
          <w:i w:val="0"/>
        </w:rPr>
        <w:t>The reviewer observed that most generative architectural tools treat floor-plan synthesis as an image-to-image task, and that such outputs are architecturally non-viable because they enforce neither structural alignment, nor wall-thickness consistency, nor code and Vastu compliance. Three innovations were recommended. All three have been implemented. What follows is what each one turned out to mean in practice.</w:t>
      </w:r>
    </w:p>
    <w:p>
      <w:pPr>
        <w:pStyle w:val="Heading3"/>
      </w:pPr>
      <w:r>
        <w:t>(a) Multi-Agent Consensus Protocol — manager–worker topology</w:t>
      </w:r>
    </w:p>
    <w:p>
      <w:r>
        <w:rPr>
          <w:i w:val="0"/>
        </w:rPr>
        <w:t>The pipeline is no longer a single generate-and-check pass. A manager node measures 7 constraints (3 hard, 4 soft), routes each failure to the worker agent that owns it, and accepts a proposed change only when re-measuring the entire design shows a net improvement. It repeats until the constraints are satisfied, the rounds stop paying for themselves, or a time budget expires. Section 5.3 contains a transcript from a live run.</w:t>
      </w:r>
    </w:p>
    <w:p>
      <w:r>
        <w:rPr>
          <w:i w:val="0"/>
        </w:rPr>
        <w:t>One deliberate departure from the abstract must be declared. The abstract stated this would be implemented with LangGraph. It is implemented as a purpose-built state machine with no orchestration framework, for three reasons. First, the protocol's defining property is that a mutation is accepted only after the whole design is re-measured and shown to have improved; that acceptance test is domain logic, not graph plumbing, and a framework would not have supplied it. Second, the agents here are deterministic analytical engines rather than language-model calls, so the asynchronous LLM machinery a framework provides is weight without benefit. Third, the platform's zero-cost and zero-dependency guarantees are easier to defend with one fewer dependency in the chain. The manager–worker topology the reviewer asked for is fully present; only the library is absent, and its absence is a choice rather than an omission.</w:t>
      </w:r>
    </w:p>
    <w:p>
      <w:pPr>
        <w:pStyle w:val="Heading3"/>
      </w:pPr>
      <w:r>
        <w:t>(b) Vastu Knowledge Graph and constraint reasoner</w:t>
      </w:r>
    </w:p>
    <w:p>
      <w:r>
        <w:rPr>
          <w:i w:val="0"/>
        </w:rPr>
        <w:t>Vastu is represented as a typed directed multigraph of 98 nodes and 255 edges across 12 relation types, linking compass directions to mandala quarters, quarters to elements and presiding deities, elements to the qualities they afford, and rooms to the activities they host. Compliance is computed by best-first path search over this graph rather than by retrieval over text. Every verdict returns the derivation chain that produced it.</w:t>
      </w:r>
    </w:p>
    <w:p>
      <w:r>
        <w:rPr>
          <w:i w:val="0"/>
        </w:rPr>
        <w:t>The measured consequence is in Section 5.4: the authored rule corpus speaks to 112 room-and-direction placements, while the graph derives a verdict for all 578 — a 5.16-fold increase in what the system can answer — and it agrees with the cited corpus on 112 of 113 placements the texts do address (99.1%).</w:t>
      </w:r>
    </w:p>
    <w:p>
      <w:pPr>
        <w:pStyle w:val="Heading3"/>
      </w:pPr>
      <w:r>
        <w:t>(c) Vectorised constraint floor-plan generation</w:t>
      </w:r>
    </w:p>
    <w:p>
      <w:r>
        <w:rPr>
          <w:i w:val="0"/>
        </w:rPr>
        <w:t>Room geometry is solved as a slicing tree over the buildable envelope under adjacency, dimension and orientation constraints, and is carried throughout the system as exact coordinates. No pixel representation exists anywhere in the pipeline. The same geometry is emitted as scaled SVG drawings, as a JSON coordinate graph, as AutoCAD DXF, and as GLB and OBJ meshes for the 3D walkthrough.</w:t>
      </w:r>
    </w:p>
    <w:p>
      <w:r>
        <w:rPr>
          <w:i w:val="0"/>
        </w:rPr>
        <w:t>A second departure to declare: the abstract proposed IFC/BIM export. The system exports DXF instead. IFC is the correct target for a coordinated multi-discipline model, but this system produces a concept-stage architectural layout with no MEP or structural analysis model behind it. Emitting IFC would wrap a concept plan in a schema that implies coordination the system has not performed. DXF at R12 is what a practice actually opens at this stage, and it is readable by every CAD package in use. The claim being made is therefore narrower than the abstract's, and true.</w:t>
      </w:r>
    </w:p>
    <w:p>
      <w:pPr>
        <w:pStyle w:val="Heading2"/>
      </w:pPr>
      <w:r>
        <w:t>1.6 What Is Deliberately Not Built</w:t>
      </w:r>
    </w:p>
    <w:p>
      <w:r>
        <w:rPr>
          <w:i w:val="0"/>
        </w:rPr>
        <w:t>The abstract retained a diffusion model for photorealistic texture rendering of finalised geometry. That component is not implemented, and this report does not claim it. The visualisation path is the vector drawing set and a dimensionally exact 3D model, which is the more defensible artefact: a photorealistic render of a concept plan invites a client to respond to lighting and material choices that no part of the system has actually reasoned about. Stating this here is preferable to listing a module that a reviewer would find empty.</w:t>
      </w:r>
    </w:p>
    <w:p>
      <w:r>
        <w:br w:type="page"/>
      </w:r>
    </w:p>
    <w:p>
      <w:pPr>
        <w:pStyle w:val="Heading1"/>
      </w:pPr>
      <w:r>
        <w:t>2. Literature Review</w:t>
      </w:r>
    </w:p>
    <w:p>
      <w:r>
        <w:rPr>
          <w:i w:val="0"/>
        </w:rPr>
        <w:t>This review is organised around the four themes raised in the reviewer feedback, so that the gap each implemented innovation closes is visible directly from the literature.</w:t>
      </w:r>
    </w:p>
    <w:p>
      <w:pPr>
        <w:pStyle w:val="Heading2"/>
      </w:pPr>
      <w:r>
        <w:t>2.1 Image-Based Generative Floor-Plan Design</w:t>
      </w:r>
    </w:p>
    <w:p>
      <w:r>
        <w:rPr>
          <w:i w:val="0"/>
        </w:rPr>
        <w:t>A substantial body of work treats floor-plan synthesis as image generation. Convolutional encoder–decoder and U-Net architectures generate raster plans conditioned on a building boundary; more recent work applies diffusion models to the same task, framing a plan as a segmentation image to be denoised. Graph-conditioned adversarial methods improve on pure pixel generation by first producing a bubble diagram of adjacencies and then rendering it. Across this line of work the limitation the reviewer identified holds: outputs are pixel grids, not editable geometry, so wall thickness and precise dimensions must be reconstructed afterwards by image post-processing, and no explicit representation exists for the model to check against a building code or Vastu constraint before the image is produced.</w:t>
      </w:r>
    </w:p>
    <w:p>
      <w:pPr>
        <w:pStyle w:val="Heading2"/>
      </w:pPr>
      <w:r>
        <w:t>2.2 Compliance and Rule-Based Reasoning in Design</w:t>
      </w:r>
    </w:p>
    <w:p>
      <w:r>
        <w:rPr>
          <w:i w:val="0"/>
        </w:rPr>
        <w:t>Separately, rule engines and ontologies have been applied to check building models against formalised code clauses, typically over IFC/BIM representations. Vastu Shastra is documented extensively in traditional and popular texts, but computational treatments are rare and, where they exist, are implemented as free-text retrieval or prompt-based question answering rather than as a structured, queryable rule base. This is the gap the Vastu Knowledge Graph closes: representing directions, quarters, elements, activities and rooms as a graph over which compliance is computed by deterministic traversal, returning the same score for the same layout every time.</w:t>
      </w:r>
    </w:p>
    <w:p>
      <w:pPr>
        <w:pStyle w:val="Heading2"/>
      </w:pPr>
      <w:r>
        <w:t>2.3 Multi-Agent Orchestration of Large Language Models</w:t>
      </w:r>
    </w:p>
    <w:p>
      <w:r>
        <w:rPr>
          <w:i w:val="0"/>
        </w:rPr>
        <w:t>Outside architecture, frameworks such as LangGraph, AutoGen and CrewAI have popularised a manager–worker pattern in which a controller routes a task to specialised agents and iterates until a stopping condition is met. The pattern shows measurable benefit in software engineering and financial analysis, where a single monolithic call under-performs a set of agents that critique and refine each other's work. Applying debate-and-refine specifically to architectural design — where the workers are domain specialists for layout, compliance, cost and interior styling, and where the acceptance test is a re-measurement of the physical design rather than a model's self-assessment — was not found in the architectural-AI literature surveyed.</w:t>
      </w:r>
    </w:p>
    <w:p>
      <w:pPr>
        <w:pStyle w:val="Heading2"/>
      </w:pPr>
      <w:r>
        <w:t>2.4 Vector- and Graph-Constrained Layout Generation</w:t>
      </w:r>
    </w:p>
    <w:p>
      <w:r>
        <w:rPr>
          <w:i w:val="0"/>
        </w:rPr>
        <w:t>A parallel line of research generates plans as structured geometry: graph-to-plan methods take a room-adjacency graph and output polygons or bounding boxes directly, and constraint-satisfaction and combinatorial formulations have long been used in space planning to guarantee non-overlapping rooms and corridor connectivity. The slicing-tree representation used here is borrowed from VLSI floorplanning, where the same problem — pack rectangles into a fixed envelope subject to adjacency and aspect constraints — has been studied for decades. This project couples that formulation to a live multi-agent compliance loop and a Vastu knowledge graph, so geometry is refined against compliance and cost feedback rather than generated once and checked afterwards.</w:t>
      </w:r>
    </w:p>
    <w:p>
      <w:pPr>
        <w:pStyle w:val="Heading2"/>
      </w:pPr>
      <w:r>
        <w:t>2.5 Summary of Identified Gaps</w:t>
      </w:r>
    </w:p>
    <w:p>
      <w:pPr>
        <w:pStyle w:val="ListBullet"/>
      </w:pPr>
      <w:r>
        <w:t>Generative floor-plan tools are predominantly image-based and guarantee neither structural validity nor code compliance by construction.</w:t>
      </w:r>
    </w:p>
    <w:p>
      <w:pPr>
        <w:pStyle w:val="ListBullet"/>
      </w:pPr>
      <w:r>
        <w:t>Computational Vastu analysis, where it exists, relies on unstructured retrieval rather than a deterministic, auditable representation.</w:t>
      </w:r>
    </w:p>
    <w:p>
      <w:pPr>
        <w:pStyle w:val="ListBullet"/>
      </w:pPr>
      <w:r>
        <w:t>The manager–worker negotiation pattern proven elsewhere has not been applied to collaborative architectural design generation.</w:t>
      </w:r>
    </w:p>
    <w:p>
      <w:pPr>
        <w:pStyle w:val="ListBullet"/>
      </w:pPr>
      <w:r>
        <w:t>Vector layout generation exists but has not been integrated with a live iterative compliance loop, automatic cost estimation and explainable reporting in one pipeline.</w:t>
      </w:r>
    </w:p>
    <w:p>
      <w:r>
        <w:br w:type="page"/>
      </w:r>
    </w:p>
    <w:p>
      <w:pPr>
        <w:pStyle w:val="Heading1"/>
      </w:pPr>
      <w:r>
        <w:t>3. System Architecture</w:t>
      </w:r>
    </w:p>
    <w:p>
      <w:r>
        <w:rPr>
          <w:i w:val="0"/>
        </w:rPr>
        <w:t>The platform is organised in five layers. A brief enters through the web studio or the embeddable widget and is normalised into a structured design state. A generation layer produces candidate schemes as exact geometry. A critique layer runs thirteen independent analytical critics over each candidate. A consensus layer selects between candidates and then negotiates the winner against its remaining constraints. A delivery layer emits drawings, CAD files, a 3D model, a costed bill of quantities and an explainable report.</w:t>
      </w:r>
    </w:p>
    <w:p>
      <w:pPr>
        <w:spacing w:after="200"/>
        <w:ind w:left="432"/>
      </w:pPr>
      <w:r>
        <w:rPr>
          <w:rFonts w:ascii="Consolas" w:hAnsi="Consolas"/>
          <w:color w:val="2A2A2A"/>
          <w:sz w:val="18"/>
        </w:rPr>
        <w:t>brief  -&gt;  interpret  -&gt;  retrieve  -&gt;  generate  -&gt;  critique</w:t>
        <w:br/>
        <w:t xml:space="preserve">                                                        |</w:t>
        <w:br/>
        <w:t xml:space="preserve">                                                   consensus</w:t>
        <w:br/>
        <w:t xml:space="preserve">                                                        |</w:t>
        <w:br/>
        <w:t xml:space="preserve">                                    (debate, if the committee disagrees)</w:t>
        <w:br/>
        <w:t xml:space="preserve">                                                        |</w:t>
        <w:br/>
        <w:t xml:space="preserve">                                                     refine</w:t>
        <w:br/>
        <w:t xml:space="preserve">                                                        |</w:t>
        <w:br/>
        <w:t xml:space="preserve">                          NEGOTIATE  &lt;-- manager-worker consensus protocol</w:t>
        <w:br/>
        <w:t xml:space="preserve">                             |  measure every constraint</w:t>
        <w:br/>
        <w:t xml:space="preserve">                             |  route each failure to its owning agent</w:t>
        <w:br/>
        <w:t xml:space="preserve">                             |  accept a change only if re-measurement improves</w:t>
        <w:br/>
        <w:t xml:space="preserve">                             v</w:t>
        <w:br/>
        <w:t xml:space="preserve">                          explain  -&gt;  drawings | DXF | GLB | cost | Vastu</w:t>
      </w:r>
    </w:p>
    <w:p>
      <w:pPr>
        <w:jc w:val="left"/>
      </w:pPr>
      <w:r>
        <w:rPr>
          <w:i/>
          <w:color w:val="555555"/>
          <w:sz w:val="18"/>
        </w:rPr>
        <w:t>Figure 3.1 — The nine pipeline stages. The negotiate stage is the manager–worker consensus protocol; it is the only stage that can revisit a decision after making it.</w:t>
      </w:r>
    </w:p>
    <w:p>
      <w:r>
        <w:rPr>
          <w:i w:val="0"/>
        </w:rPr>
        <w:t>The distinction that matters is between the consensus stage and the negotiate stage. Consensus selects the best of several candidate schemes by a reliability-weighted vote across the critics. That is a choice between fixed alternatives. Negotiation then changes the chosen scheme, measures the result, and keeps the change only if the design as a whole improved. Selection cannot fix a scheme in which every candidate shares the same flaw; negotiation can.</w:t>
      </w:r>
    </w:p>
    <w:p>
      <w:r>
        <w:br w:type="page"/>
      </w:r>
    </w:p>
    <w:p>
      <w:pPr>
        <w:pStyle w:val="Heading1"/>
      </w:pPr>
      <w:r>
        <w:t>4. Module Description</w:t>
      </w:r>
    </w:p>
    <w:p>
      <w:pPr>
        <w:pStyle w:val="Heading2"/>
      </w:pPr>
      <w:r>
        <w:t>4.1 Client Interaction and Requirement Capture</w:t>
      </w:r>
    </w:p>
    <w:p>
      <w:r>
        <w:rPr>
          <w:i w:val="0"/>
        </w:rPr>
        <w:t>The entry point, available both as a full architect studio and as an embeddable widget a practice installs on its own site. Free-text and structured input are normalised into a design state carrying plot geometry, orientation, room programme, occupancy, budget, style preference and Vastu stance. The widget renders inside a shadow root so the host site's styles cannot leak into it or be disturbed by it.</w:t>
      </w:r>
    </w:p>
    <w:p>
      <w:pPr>
        <w:pStyle w:val="Heading2"/>
      </w:pPr>
      <w:r>
        <w:t>4.2 Manager Agent — the consensus protocol</w:t>
      </w:r>
    </w:p>
    <w:p>
      <w:r>
        <w:rPr>
          <w:i w:val="0"/>
        </w:rPr>
        <w:t>Implements the manager–worker state machine over phases INTAKE, PROPOSE, MEASURE, NEGOTIATE, APPLY, DECIDE and SETTLED. It owns the constraint set, routes each unsatisfied constraint to the worker that owns it, evaluates every proposed mutation by re-measuring the whole design, and terminates on satisfaction, convergence or time budget. Hard constraints are weighted three times a soft one, which guarantees no accumulation of comfort gains can outrank fixing a statutory breach.</w:t>
      </w:r>
    </w:p>
    <w:p>
      <w:pPr>
        <w:pStyle w:val="Heading2"/>
      </w:pPr>
      <w:r>
        <w:t>4.3 Floorplan Architect Agent</w:t>
      </w:r>
    </w:p>
    <w:p>
      <w:r>
        <w:rPr>
          <w:i w:val="0"/>
        </w:rPr>
        <w:t>Owns geometry. Proposes and repairs room placement, wall positions, openings, clearances and circulation, working against a building-code rule base derived from the National Building Code of India 2016 — minimum room areas and widths, floor-area ratio, ground coverage, setbacks, habitable-room glazing and ventilation ratios, and stair geometry. It is the owning agent for every hard constraint.</w:t>
      </w:r>
    </w:p>
    <w:p>
      <w:pPr>
        <w:pStyle w:val="Heading2"/>
      </w:pPr>
      <w:r>
        <w:t>4.4 Vastu Compliance Agent and the Knowledge Graph</w:t>
      </w:r>
    </w:p>
    <w:p>
      <w:r>
        <w:rPr>
          <w:i w:val="0"/>
        </w:rPr>
        <w:t>Owns orientation. Consults the knowledge graph for the placement of every room and proposes room reassignments that raise the aggregate placement score. Reassignment swaps room identities between cells rather than moving walls, which leaves every geometric constraint the architect has already satisfied untouched — a property that matters because it makes the two agents' proposals compose rather than fight.</w:t>
      </w:r>
    </w:p>
    <w:p>
      <w:pPr>
        <w:pStyle w:val="Heading2"/>
      </w:pPr>
      <w:r>
        <w:t>4.5 Cost Estimator Agent</w:t>
      </w:r>
    </w:p>
    <w:p>
      <w:r>
        <w:rPr>
          <w:i w:val="0"/>
        </w:rPr>
        <w:t>Owns budget. Produces a line-item estimate from measured quantities against a rate schedule following CPWD conventions, with regional multipliers and a Monte Carlo simulation returning P10, P50 and P90 bands rather than a single misleading figure. When the design is over budget it proposes a specification step-down and reports which line items drive the overrun.</w:t>
      </w:r>
    </w:p>
    <w:p>
      <w:pPr>
        <w:pStyle w:val="Heading2"/>
      </w:pPr>
      <w:r>
        <w:t>4.6 Interior Renderer Agent</w:t>
      </w:r>
    </w:p>
    <w:p>
      <w:r>
        <w:rPr>
          <w:i w:val="0"/>
        </w:rPr>
        <w:t>Places furniture within finalised room boundaries subject to clearance and accessibility rules, selecting from a catalogue matched to the client's stated style, and returns both the arrangement and its furniture cost.</w:t>
      </w:r>
    </w:p>
    <w:p>
      <w:pPr>
        <w:pStyle w:val="Heading2"/>
      </w:pPr>
      <w:r>
        <w:t>4.7 Retrieval and Knowledge Base Layer</w:t>
      </w:r>
    </w:p>
    <w:p>
      <w:r>
        <w:rPr>
          <w:i w:val="0"/>
        </w:rPr>
        <w:t>Supplies grounded, citable material — style precedents, material properties, climatic strategies — to the agents that need unstructured evidence. It sits alongside, not inside, the knowledge graph and the code rule base: those two carry structured representations, and mixing retrieval into them is precisely the failure mode this project set out to avoid.</w:t>
      </w:r>
    </w:p>
    <w:p>
      <w:pPr>
        <w:pStyle w:val="Heading2"/>
      </w:pPr>
      <w:r>
        <w:t>4.8 Vectorised Constraint Floor-Plan Generation</w:t>
      </w:r>
    </w:p>
    <w:p>
      <w:r>
        <w:rPr>
          <w:i w:val="0"/>
        </w:rPr>
        <w:t>Solves room boundaries and wall coordinates as a slicing tree under adjacency, dimension and orientation constraints, refined by a surrogate-assisted evolutionary search. Output is exact geometry, emitted as SVG drawings, a JSON coordinate graph and AutoCAD DXF.</w:t>
      </w:r>
    </w:p>
    <w:p>
      <w:pPr>
        <w:pStyle w:val="Heading2"/>
      </w:pPr>
      <w:r>
        <w:t>4.9 CAD and 3D Delivery</w:t>
      </w:r>
    </w:p>
    <w:p>
      <w:r>
        <w:rPr>
          <w:i w:val="0"/>
        </w:rPr>
        <w:t>The DXF writer emits AutoCAD R12 with walls poched as closed polylines at true thickness, doors as leaf-and-swing symbols, glazing, the structural grid, dimension strings and a room schedule, on the layer names an Indian practice already uses. A separate extruder produces GLB and OBJ meshes for the 3D walkthrough and AR placement.</w:t>
      </w:r>
    </w:p>
    <w:p>
      <w:pPr>
        <w:pStyle w:val="Heading2"/>
      </w:pPr>
      <w:r>
        <w:t>4.10 Explainability and Reporting</w:t>
      </w:r>
    </w:p>
    <w:p>
      <w:r>
        <w:rPr>
          <w:i w:val="0"/>
        </w:rPr>
        <w:t>Compiles the graph derivations, the negotiation transcript, the critics' findings and the cost line items into a report. The explanation is assembled from the reasoning that actually ran, not written to fit a number that was computed elsewhere.</w:t>
      </w:r>
    </w:p>
    <w:p>
      <w:pPr>
        <w:pStyle w:val="Heading2"/>
      </w:pPr>
      <w:r>
        <w:t>4.11 Human-in-the-Loop Editing</w:t>
      </w:r>
    </w:p>
    <w:p>
      <w:r>
        <w:rPr>
          <w:i w:val="0"/>
        </w:rPr>
        <w:t>Converts an edit request into a constraint update and re-enters the negotiation loop with the existing design as the starting point, rather than regenerating from scratch.</w:t>
      </w:r>
    </w:p>
    <w:p>
      <w:r>
        <w:br w:type="page"/>
      </w:r>
    </w:p>
    <w:p>
      <w:pPr>
        <w:pStyle w:val="Heading1"/>
      </w:pPr>
      <w:r>
        <w:t>5. Method and Measured Results</w:t>
      </w:r>
    </w:p>
    <w:p>
      <w:pPr>
        <w:pStyle w:val="Heading2"/>
      </w:pPr>
      <w:r>
        <w:t>5.1 Data Sources</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9"/>
              </w:rPr>
              <w:t>Source</w:t>
            </w:r>
          </w:p>
        </w:tc>
        <w:tc>
          <w:tcPr>
            <w:tcW w:type="dxa" w:w="3168"/>
          </w:tcPr>
          <w:p>
            <w:r/>
            <w:r>
              <w:rPr>
                <w:b/>
                <w:sz w:val="19"/>
              </w:rPr>
              <w:t>Use</w:t>
            </w:r>
          </w:p>
        </w:tc>
        <w:tc>
          <w:tcPr>
            <w:tcW w:type="dxa" w:w="3168"/>
          </w:tcPr>
          <w:p>
            <w:r/>
            <w:r>
              <w:rPr>
                <w:b/>
                <w:sz w:val="19"/>
              </w:rPr>
              <w:t>Treatment</w:t>
            </w:r>
          </w:p>
        </w:tc>
      </w:tr>
      <w:tr>
        <w:tc>
          <w:tcPr>
            <w:tcW w:type="dxa" w:w="3168"/>
          </w:tcPr>
          <w:p>
            <w:r/>
            <w:r>
              <w:rPr>
                <w:sz w:val="19"/>
              </w:rPr>
              <w:t>National Building Code of India 2016</w:t>
            </w:r>
          </w:p>
        </w:tc>
        <w:tc>
          <w:tcPr>
            <w:tcW w:type="dxa" w:w="3168"/>
          </w:tcPr>
          <w:p>
            <w:r/>
            <w:r>
              <w:rPr>
                <w:sz w:val="19"/>
              </w:rPr>
              <w:t>Minimum room dimensions, FAR, coverage, setbacks, glazing and ventilation ratios, stair geometry</w:t>
            </w:r>
          </w:p>
        </w:tc>
        <w:tc>
          <w:tcPr>
            <w:tcW w:type="dxa" w:w="3168"/>
          </w:tcPr>
          <w:p>
            <w:r/>
            <w:r>
              <w:rPr>
                <w:sz w:val="19"/>
              </w:rPr>
              <w:t>Encoded as an explicit rule base, each check citing its clause</w:t>
            </w:r>
          </w:p>
        </w:tc>
      </w:tr>
      <w:tr>
        <w:tc>
          <w:tcPr>
            <w:tcW w:type="dxa" w:w="3168"/>
          </w:tcPr>
          <w:p>
            <w:r/>
            <w:r>
              <w:rPr>
                <w:sz w:val="19"/>
              </w:rPr>
              <w:t>Classical Vastu texts and standard commentaries</w:t>
            </w:r>
          </w:p>
        </w:tc>
        <w:tc>
          <w:tcPr>
            <w:tcW w:type="dxa" w:w="3168"/>
          </w:tcPr>
          <w:p>
            <w:r/>
            <w:r>
              <w:rPr>
                <w:sz w:val="19"/>
              </w:rPr>
              <w:t>29 authored rules and the semantic layer of the knowledge graph</w:t>
            </w:r>
          </w:p>
        </w:tc>
        <w:tc>
          <w:tcPr>
            <w:tcW w:type="dxa" w:w="3168"/>
          </w:tcPr>
          <w:p>
            <w:r/>
            <w:r>
              <w:rPr>
                <w:sz w:val="19"/>
              </w:rPr>
              <w:t>Each rule carries a citation, a classical weight and an independent modern-validity score</w:t>
            </w:r>
          </w:p>
        </w:tc>
      </w:tr>
      <w:tr>
        <w:tc>
          <w:tcPr>
            <w:tcW w:type="dxa" w:w="3168"/>
          </w:tcPr>
          <w:p>
            <w:r/>
            <w:r>
              <w:rPr>
                <w:sz w:val="19"/>
              </w:rPr>
              <w:t>CPWD rate conventions and regional cost data</w:t>
            </w:r>
          </w:p>
        </w:tc>
        <w:tc>
          <w:tcPr>
            <w:tcW w:type="dxa" w:w="3168"/>
          </w:tcPr>
          <w:p>
            <w:r/>
            <w:r>
              <w:rPr>
                <w:sz w:val="19"/>
              </w:rPr>
              <w:t>Unit rates for the quantity takeoff</w:t>
            </w:r>
          </w:p>
        </w:tc>
        <w:tc>
          <w:tcPr>
            <w:tcW w:type="dxa" w:w="3168"/>
          </w:tcPr>
          <w:p>
            <w:r/>
            <w:r>
              <w:rPr>
                <w:sz w:val="19"/>
              </w:rPr>
              <w:t>Rate schedule with regional multipliers and finish tiers</w:t>
            </w:r>
          </w:p>
        </w:tc>
      </w:tr>
      <w:tr>
        <w:tc>
          <w:tcPr>
            <w:tcW w:type="dxa" w:w="3168"/>
          </w:tcPr>
          <w:p>
            <w:r/>
            <w:r>
              <w:rPr>
                <w:sz w:val="19"/>
              </w:rPr>
              <w:t>BRE daylight factor method; NOAA solar position algorithm</w:t>
            </w:r>
          </w:p>
        </w:tc>
        <w:tc>
          <w:tcPr>
            <w:tcW w:type="dxa" w:w="3168"/>
          </w:tcPr>
          <w:p>
            <w:r/>
            <w:r>
              <w:rPr>
                <w:sz w:val="19"/>
              </w:rPr>
              <w:t>Daylight and shading analysis</w:t>
            </w:r>
          </w:p>
        </w:tc>
        <w:tc>
          <w:tcPr>
            <w:tcW w:type="dxa" w:w="3168"/>
          </w:tcPr>
          <w:p>
            <w:r/>
            <w:r>
              <w:rPr>
                <w:sz w:val="19"/>
              </w:rPr>
              <w:t>Implemented directly as building physics, not learned</w:t>
            </w:r>
          </w:p>
        </w:tc>
      </w:tr>
      <w:tr>
        <w:tc>
          <w:tcPr>
            <w:tcW w:type="dxa" w:w="3168"/>
          </w:tcPr>
          <w:p>
            <w:r/>
            <w:r>
              <w:rPr>
                <w:sz w:val="19"/>
              </w:rPr>
              <w:t>Open style, material and precedent corpus</w:t>
            </w:r>
          </w:p>
        </w:tc>
        <w:tc>
          <w:tcPr>
            <w:tcW w:type="dxa" w:w="3168"/>
          </w:tcPr>
          <w:p>
            <w:r/>
            <w:r>
              <w:rPr>
                <w:sz w:val="19"/>
              </w:rPr>
              <w:t>Style matching and interior selection</w:t>
            </w:r>
          </w:p>
        </w:tc>
        <w:tc>
          <w:tcPr>
            <w:tcW w:type="dxa" w:w="3168"/>
          </w:tcPr>
          <w:p>
            <w:r/>
            <w:r>
              <w:rPr>
                <w:sz w:val="19"/>
              </w:rPr>
              <w:t>Embedded and indexed for retrieval, every item returned with its source</w:t>
            </w:r>
          </w:p>
        </w:tc>
      </w:tr>
    </w:tbl>
    <w:p/>
    <w:p>
      <w:pPr>
        <w:pStyle w:val="Heading2"/>
      </w:pPr>
      <w:r>
        <w:t>5.2 Method</w:t>
      </w:r>
    </w:p>
    <w:p>
      <w:r>
        <w:rPr>
          <w:i w:val="0"/>
        </w:rPr>
        <w:t>Generation searches the space of slicing trees over the buildable envelope. Each candidate is scored by a surrogate objective covering programme fit, daylight, ventilation, privacy, circulation, structural regularity and Vastu placement; the population is evolved under mutation and crossover of the tree structure and its split ratios. Surviving candidates are materialised into full plans with walls, openings, a column grid and stairs.</w:t>
      </w:r>
    </w:p>
    <w:p>
      <w:r>
        <w:rPr>
          <w:i w:val="0"/>
        </w:rPr>
        <w:t>Each candidate is then reviewed by thirteen independent critics, whose verdicts are combined by an admissibility filter, a Pareto front, a reliability-weighted Borda count and a cardinal utility, with axis-level agreement analysis deciding whether a debate round is warranted. The selected scheme enters the negotiation protocol described in Section 5.3.</w:t>
      </w:r>
    </w:p>
    <w:p>
      <w:pPr>
        <w:pStyle w:val="Heading2"/>
      </w:pPr>
      <w:r>
        <w:t>5.3 The Consensus Protocol, Measured</w:t>
      </w:r>
    </w:p>
    <w:p>
      <w:r>
        <w:rPr>
          <w:i w:val="0"/>
        </w:rPr>
        <w:t>The protocol operates over 7 constraints. Each names the agent responsible for repairing it; a constraint whose owner is not a live worker would be unrepairable, so that correspondence is asserted by a test.</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9"/>
              </w:rPr>
              <w:t>Constraint</w:t>
            </w:r>
          </w:p>
        </w:tc>
        <w:tc>
          <w:tcPr>
            <w:tcW w:type="dxa" w:w="3168"/>
          </w:tcPr>
          <w:p>
            <w:r/>
            <w:r>
              <w:rPr>
                <w:b/>
                <w:sz w:val="19"/>
              </w:rPr>
              <w:t>Severity</w:t>
            </w:r>
          </w:p>
        </w:tc>
        <w:tc>
          <w:tcPr>
            <w:tcW w:type="dxa" w:w="3168"/>
          </w:tcPr>
          <w:p>
            <w:r/>
            <w:r>
              <w:rPr>
                <w:b/>
                <w:sz w:val="19"/>
              </w:rPr>
              <w:t>Owning agent</w:t>
            </w:r>
          </w:p>
        </w:tc>
      </w:tr>
      <w:tr>
        <w:tc>
          <w:tcPr>
            <w:tcW w:type="dxa" w:w="3168"/>
          </w:tcPr>
          <w:p>
            <w:r/>
            <w:r>
              <w:rPr>
                <w:sz w:val="19"/>
              </w:rPr>
              <w:t>code.no_critical</w:t>
            </w:r>
          </w:p>
        </w:tc>
        <w:tc>
          <w:tcPr>
            <w:tcW w:type="dxa" w:w="3168"/>
          </w:tcPr>
          <w:p>
            <w:r/>
            <w:r>
              <w:rPr>
                <w:sz w:val="19"/>
              </w:rPr>
              <w:t>hard</w:t>
            </w:r>
          </w:p>
        </w:tc>
        <w:tc>
          <w:tcPr>
            <w:tcW w:type="dxa" w:w="3168"/>
          </w:tcPr>
          <w:p>
            <w:r/>
            <w:r>
              <w:rPr>
                <w:sz w:val="19"/>
              </w:rPr>
              <w:t>floorplan_architect</w:t>
            </w:r>
          </w:p>
        </w:tc>
      </w:tr>
      <w:tr>
        <w:tc>
          <w:tcPr>
            <w:tcW w:type="dxa" w:w="3168"/>
          </w:tcPr>
          <w:p>
            <w:r/>
            <w:r>
              <w:rPr>
                <w:sz w:val="19"/>
              </w:rPr>
              <w:t>circulation.reachable</w:t>
            </w:r>
          </w:p>
        </w:tc>
        <w:tc>
          <w:tcPr>
            <w:tcW w:type="dxa" w:w="3168"/>
          </w:tcPr>
          <w:p>
            <w:r/>
            <w:r>
              <w:rPr>
                <w:sz w:val="19"/>
              </w:rPr>
              <w:t>hard</w:t>
            </w:r>
          </w:p>
        </w:tc>
        <w:tc>
          <w:tcPr>
            <w:tcW w:type="dxa" w:w="3168"/>
          </w:tcPr>
          <w:p>
            <w:r/>
            <w:r>
              <w:rPr>
                <w:sz w:val="19"/>
              </w:rPr>
              <w:t>floorplan_architect</w:t>
            </w:r>
          </w:p>
        </w:tc>
      </w:tr>
      <w:tr>
        <w:tc>
          <w:tcPr>
            <w:tcW w:type="dxa" w:w="3168"/>
          </w:tcPr>
          <w:p>
            <w:r/>
            <w:r>
              <w:rPr>
                <w:sz w:val="19"/>
              </w:rPr>
              <w:t>daylight.statutory</w:t>
            </w:r>
          </w:p>
        </w:tc>
        <w:tc>
          <w:tcPr>
            <w:tcW w:type="dxa" w:w="3168"/>
          </w:tcPr>
          <w:p>
            <w:r/>
            <w:r>
              <w:rPr>
                <w:sz w:val="19"/>
              </w:rPr>
              <w:t>hard</w:t>
            </w:r>
          </w:p>
        </w:tc>
        <w:tc>
          <w:tcPr>
            <w:tcW w:type="dxa" w:w="3168"/>
          </w:tcPr>
          <w:p>
            <w:r/>
            <w:r>
              <w:rPr>
                <w:sz w:val="19"/>
              </w:rPr>
              <w:t>floorplan_architect</w:t>
            </w:r>
          </w:p>
        </w:tc>
      </w:tr>
      <w:tr>
        <w:tc>
          <w:tcPr>
            <w:tcW w:type="dxa" w:w="3168"/>
          </w:tcPr>
          <w:p>
            <w:r/>
            <w:r>
              <w:rPr>
                <w:sz w:val="19"/>
              </w:rPr>
              <w:t>ventilation.adequate</w:t>
            </w:r>
          </w:p>
        </w:tc>
        <w:tc>
          <w:tcPr>
            <w:tcW w:type="dxa" w:w="3168"/>
          </w:tcPr>
          <w:p>
            <w:r/>
            <w:r>
              <w:rPr>
                <w:sz w:val="19"/>
              </w:rPr>
              <w:t>soft</w:t>
            </w:r>
          </w:p>
        </w:tc>
        <w:tc>
          <w:tcPr>
            <w:tcW w:type="dxa" w:w="3168"/>
          </w:tcPr>
          <w:p>
            <w:r/>
            <w:r>
              <w:rPr>
                <w:sz w:val="19"/>
              </w:rPr>
              <w:t>floorplan_architect</w:t>
            </w:r>
          </w:p>
        </w:tc>
      </w:tr>
      <w:tr>
        <w:tc>
          <w:tcPr>
            <w:tcW w:type="dxa" w:w="3168"/>
          </w:tcPr>
          <w:p>
            <w:r/>
            <w:r>
              <w:rPr>
                <w:sz w:val="19"/>
              </w:rPr>
              <w:t>vastu.compliant</w:t>
            </w:r>
          </w:p>
        </w:tc>
        <w:tc>
          <w:tcPr>
            <w:tcW w:type="dxa" w:w="3168"/>
          </w:tcPr>
          <w:p>
            <w:r/>
            <w:r>
              <w:rPr>
                <w:sz w:val="19"/>
              </w:rPr>
              <w:t>soft</w:t>
            </w:r>
          </w:p>
        </w:tc>
        <w:tc>
          <w:tcPr>
            <w:tcW w:type="dxa" w:w="3168"/>
          </w:tcPr>
          <w:p>
            <w:r/>
            <w:r>
              <w:rPr>
                <w:sz w:val="19"/>
              </w:rPr>
              <w:t>vastu_compliance</w:t>
            </w:r>
          </w:p>
        </w:tc>
      </w:tr>
      <w:tr>
        <w:tc>
          <w:tcPr>
            <w:tcW w:type="dxa" w:w="3168"/>
          </w:tcPr>
          <w:p>
            <w:r/>
            <w:r>
              <w:rPr>
                <w:sz w:val="19"/>
              </w:rPr>
              <w:t>cost.within_budget</w:t>
            </w:r>
          </w:p>
        </w:tc>
        <w:tc>
          <w:tcPr>
            <w:tcW w:type="dxa" w:w="3168"/>
          </w:tcPr>
          <w:p>
            <w:r/>
            <w:r>
              <w:rPr>
                <w:sz w:val="19"/>
              </w:rPr>
              <w:t>soft</w:t>
            </w:r>
          </w:p>
        </w:tc>
        <w:tc>
          <w:tcPr>
            <w:tcW w:type="dxa" w:w="3168"/>
          </w:tcPr>
          <w:p>
            <w:r/>
            <w:r>
              <w:rPr>
                <w:sz w:val="19"/>
              </w:rPr>
              <w:t>cost_estimator</w:t>
            </w:r>
          </w:p>
        </w:tc>
      </w:tr>
      <w:tr>
        <w:tc>
          <w:tcPr>
            <w:tcW w:type="dxa" w:w="3168"/>
          </w:tcPr>
          <w:p>
            <w:r/>
            <w:r>
              <w:rPr>
                <w:sz w:val="19"/>
              </w:rPr>
              <w:t>access.usable</w:t>
            </w:r>
          </w:p>
        </w:tc>
        <w:tc>
          <w:tcPr>
            <w:tcW w:type="dxa" w:w="3168"/>
          </w:tcPr>
          <w:p>
            <w:r/>
            <w:r>
              <w:rPr>
                <w:sz w:val="19"/>
              </w:rPr>
              <w:t>soft</w:t>
            </w:r>
          </w:p>
        </w:tc>
        <w:tc>
          <w:tcPr>
            <w:tcW w:type="dxa" w:w="3168"/>
          </w:tcPr>
          <w:p>
            <w:r/>
            <w:r>
              <w:rPr>
                <w:sz w:val="19"/>
              </w:rPr>
              <w:t>floorplan_architect</w:t>
            </w:r>
          </w:p>
        </w:tc>
      </w:tr>
    </w:tbl>
    <w:p/>
    <w:p>
      <w:r>
        <w:rPr>
          <w:i w:val="0"/>
        </w:rPr>
        <w:t>A live run on the benchmark residential brief produced this transcript:</w:t>
      </w:r>
    </w:p>
    <w:p>
      <w:pPr>
        <w:spacing w:after="200"/>
        <w:ind w:left="432"/>
      </w:pPr>
      <w:r>
        <w:rPr>
          <w:rFonts w:ascii="Consolas" w:hAnsi="Consolas"/>
          <w:color w:val="2A2A2A"/>
          <w:sz w:val="18"/>
        </w:rPr>
        <w:t>opening state   score 0.6632   2 constraint(s) open</w:t>
        <w:br/>
        <w:t xml:space="preserve">   OPEN [hard] code.no_critical: 1 critical statutory breach(es)</w:t>
        <w:br/>
        <w:t xml:space="preserve">   OPEN [hard] daylight.statutory: 1 room(s) below the statutory glazing ratio</w:t>
        <w:br/>
        <w:t>round 1       0.6632 -&gt; 0.8276   hard 2 -&gt; 0</w:t>
        <w:br/>
        <w:t xml:space="preserve">   [ACCEPT] floorplan_architect: apply 5 targeted geometric repair(s) (+0.0784)</w:t>
        <w:br/>
        <w:t xml:space="preserve">   [ACCEPT] floorplan_architect: re-pack the envelope to give Master Bedroom its statutory width (+0.0861)</w:t>
        <w:br/>
        <w:t>round 2       0.8276 -&gt; 0.8700   hard 0 -&gt; 0</w:t>
        <w:br/>
        <w:t xml:space="preserve">   [ACCEPT] vastu_compliance: swap two room assignments for a projected +1.85 placement gain (+0.0424)</w:t>
        <w:br/>
        <w:t>outcome         satisfied   final 0.8700   hard open 0   1.34s</w:t>
        <w:br/>
        <w:br/>
        <w:t>closing state</w:t>
        <w:br/>
        <w:t xml:space="preserve">   ok   [hard] code.no_critical       no statutory breach</w:t>
        <w:br/>
        <w:t xml:space="preserve">   ok   [hard] circulation.reachable  all rooms reachable</w:t>
        <w:br/>
        <w:t xml:space="preserve">   ok   [hard] daylight.statutory     every habitable room is adequately glazed</w:t>
        <w:br/>
        <w:t xml:space="preserve">   ok   [soft] ventilation.adequate   ventilation index 0.68</w:t>
        <w:br/>
        <w:t xml:space="preserve">   ok   [soft] vastu.compliant        graph placement score 0.74 over 11 rooms</w:t>
        <w:br/>
        <w:t xml:space="preserve">   ok   [soft] cost.within_budget     109% of budget</w:t>
        <w:br/>
        <w:t xml:space="preserve">   ok   [soft] access.usable          accessibility index 0.99</w:t>
      </w:r>
    </w:p>
    <w:p>
      <w:pPr>
        <w:jc w:val="left"/>
      </w:pPr>
      <w:r>
        <w:rPr>
          <w:i/>
          <w:color w:val="555555"/>
          <w:sz w:val="18"/>
        </w:rPr>
        <w:t>Figure 5.1 — A negotiation transcript from a live run. Each accepted mutation carries the measured improvement that justified accepting it.</w:t>
      </w:r>
    </w:p>
    <w:p>
      <w:r>
        <w:rPr>
          <w:i w:val="0"/>
        </w:rPr>
        <w:t>Two properties of this loop are worth stating because they are what make it safe to run unattended, and both are asserted by tests. A mutation is accepted only when re-measuring the entire design shows a net gain, so the design can never end a round worse than it began. And the count of open hard constraints is monotonically non-increasing, so the loop cannot trade a statutory breach for a comfort improvement.</w:t>
      </w:r>
    </w:p>
    <w:p>
      <w:pPr>
        <w:pStyle w:val="Heading3"/>
      </w:pPr>
      <w:r>
        <w:t>Behaviour under an impossible brief</w:t>
      </w:r>
    </w:p>
    <w:p>
      <w:r>
        <w:rPr>
          <w:i w:val="0"/>
        </w:rPr>
        <w:t>What the loop does when the brief cannot be satisfied matters as much as what it does when it can. The same protocol was given a four-bedroom programme on a budget that cannot build it:</w:t>
      </w:r>
    </w:p>
    <w:p>
      <w:pPr>
        <w:spacing w:after="200"/>
        <w:ind w:left="432"/>
      </w:pPr>
      <w:r>
        <w:rPr>
          <w:rFonts w:ascii="Consolas" w:hAnsi="Consolas"/>
          <w:color w:val="2A2A2A"/>
          <w:sz w:val="18"/>
        </w:rPr>
        <w:t>brief           4 bedrooms, 3 bathrooms on a 12 x 18 m plot, budget Rs 15,00,000</w:t>
        <w:br/>
        <w:t xml:space="preserve">   OPEN [soft] cost.within_budget: 310% of budget</w:t>
        <w:br/>
        <w:t>round 1       0.7867 -&gt; 0.7867   hard 0 -&gt; 0</w:t>
        <w:br/>
        <w:t xml:space="preserve">   [no change] cost_estimator: already specified at the lowest finish tier, so no further step-down exists. The overrun is driven by the size of the programme, not by the specification, and cannot be closed without the client either raising the budget or dropping accommodation.</w:t>
        <w:br/>
        <w:t>outcome         converged   hard open 0</w:t>
        <w:br/>
        <w:t xml:space="preserve">   STILL OPEN [soft] cost.within_budget: 310% of budget</w:t>
      </w:r>
    </w:p>
    <w:p>
      <w:pPr>
        <w:jc w:val="left"/>
      </w:pPr>
      <w:r>
        <w:rPr>
          <w:i/>
          <w:color w:val="555555"/>
          <w:sz w:val="18"/>
        </w:rPr>
        <w:t>Figure 5.2 — The same protocol on a brief that cannot be built to budget.</w:t>
      </w:r>
    </w:p>
    <w:p>
      <w:r>
        <w:rPr>
          <w:i w:val="0"/>
        </w:rPr>
        <w:t>The loop satisfies what it can and then stops, carrying the unsatisfiable constraint into the report with the figure attached rather than quietly relaxing it. Note that the agent responsible for the failing constraint is required to say why it cannot help, and what it says is actionable: the overrun is driven by the size of the programme rather than the specification, so the client's real choice is to raise the budget or drop accommodation. An agent that owns a failing constraint and stays silent is indistinguishable from an agent that never ran.</w:t>
      </w:r>
    </w:p>
    <w:p>
      <w:pPr>
        <w:pStyle w:val="Heading2"/>
      </w:pPr>
      <w:r>
        <w:t>5.4 The Vastu Knowledge Graph, Measured</w:t>
      </w:r>
    </w:p>
    <w:p>
      <w:r>
        <w:rPr>
          <w:i w:val="0"/>
        </w:rPr>
        <w:t>The graph holds 98 nodes over 12 relation types and 255 edges.</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9"/>
              </w:rPr>
              <w:t>Node type</w:t>
            </w:r>
          </w:p>
        </w:tc>
        <w:tc>
          <w:tcPr>
            <w:tcW w:type="dxa" w:w="3168"/>
          </w:tcPr>
          <w:p>
            <w:r/>
            <w:r>
              <w:rPr>
                <w:b/>
                <w:sz w:val="19"/>
              </w:rPr>
              <w:t>Count</w:t>
            </w:r>
          </w:p>
        </w:tc>
        <w:tc>
          <w:tcPr>
            <w:tcW w:type="dxa" w:w="3168"/>
          </w:tcPr>
          <w:p>
            <w:r/>
            <w:r>
              <w:rPr>
                <w:b/>
                <w:sz w:val="19"/>
              </w:rPr>
              <w:t>Role</w:t>
            </w:r>
          </w:p>
        </w:tc>
      </w:tr>
      <w:tr>
        <w:tc>
          <w:tcPr>
            <w:tcW w:type="dxa" w:w="3168"/>
          </w:tcPr>
          <w:p>
            <w:r/>
            <w:r>
              <w:rPr>
                <w:sz w:val="19"/>
              </w:rPr>
              <w:t>Direction</w:t>
            </w:r>
          </w:p>
        </w:tc>
        <w:tc>
          <w:tcPr>
            <w:tcW w:type="dxa" w:w="3168"/>
          </w:tcPr>
          <w:p>
            <w:r/>
            <w:r>
              <w:rPr>
                <w:sz w:val="19"/>
              </w:rPr>
              <w:t>17</w:t>
            </w:r>
          </w:p>
        </w:tc>
        <w:tc>
          <w:tcPr>
            <w:tcW w:type="dxa" w:w="3168"/>
          </w:tcPr>
          <w:p>
            <w:r/>
            <w:r>
              <w:rPr>
                <w:sz w:val="19"/>
              </w:rPr>
              <w:t>The 16 compass sectors and the centre</w:t>
            </w:r>
          </w:p>
        </w:tc>
      </w:tr>
      <w:tr>
        <w:tc>
          <w:tcPr>
            <w:tcW w:type="dxa" w:w="3168"/>
          </w:tcPr>
          <w:p>
            <w:r/>
            <w:r>
              <w:rPr>
                <w:sz w:val="19"/>
              </w:rPr>
              <w:t>Quarter</w:t>
            </w:r>
          </w:p>
        </w:tc>
        <w:tc>
          <w:tcPr>
            <w:tcW w:type="dxa" w:w="3168"/>
          </w:tcPr>
          <w:p>
            <w:r/>
            <w:r>
              <w:rPr>
                <w:sz w:val="19"/>
              </w:rPr>
              <w:t>9</w:t>
            </w:r>
          </w:p>
        </w:tc>
        <w:tc>
          <w:tcPr>
            <w:tcW w:type="dxa" w:w="3168"/>
          </w:tcPr>
          <w:p>
            <w:r/>
            <w:r>
              <w:rPr>
                <w:sz w:val="19"/>
              </w:rPr>
              <w:t>Mandala quarters — Ishanya, Agneya, Nairutya, Vayavya and the rest</w:t>
            </w:r>
          </w:p>
        </w:tc>
      </w:tr>
      <w:tr>
        <w:tc>
          <w:tcPr>
            <w:tcW w:type="dxa" w:w="3168"/>
          </w:tcPr>
          <w:p>
            <w:r/>
            <w:r>
              <w:rPr>
                <w:sz w:val="19"/>
              </w:rPr>
              <w:t>Tattva</w:t>
            </w:r>
          </w:p>
        </w:tc>
        <w:tc>
          <w:tcPr>
            <w:tcW w:type="dxa" w:w="3168"/>
          </w:tcPr>
          <w:p>
            <w:r/>
            <w:r>
              <w:rPr>
                <w:sz w:val="19"/>
              </w:rPr>
              <w:t>5</w:t>
            </w:r>
          </w:p>
        </w:tc>
        <w:tc>
          <w:tcPr>
            <w:tcW w:type="dxa" w:w="3168"/>
          </w:tcPr>
          <w:p>
            <w:r/>
            <w:r>
              <w:rPr>
                <w:sz w:val="19"/>
              </w:rPr>
              <w:t>The five elements</w:t>
            </w:r>
          </w:p>
        </w:tc>
      </w:tr>
      <w:tr>
        <w:tc>
          <w:tcPr>
            <w:tcW w:type="dxa" w:w="3168"/>
          </w:tcPr>
          <w:p>
            <w:r/>
            <w:r>
              <w:rPr>
                <w:sz w:val="19"/>
              </w:rPr>
              <w:t>Deity</w:t>
            </w:r>
          </w:p>
        </w:tc>
        <w:tc>
          <w:tcPr>
            <w:tcW w:type="dxa" w:w="3168"/>
          </w:tcPr>
          <w:p>
            <w:r/>
            <w:r>
              <w:rPr>
                <w:sz w:val="19"/>
              </w:rPr>
              <w:t>9</w:t>
            </w:r>
          </w:p>
        </w:tc>
        <w:tc>
          <w:tcPr>
            <w:tcW w:type="dxa" w:w="3168"/>
          </w:tcPr>
          <w:p>
            <w:r/>
            <w:r>
              <w:rPr>
                <w:sz w:val="19"/>
              </w:rPr>
              <w:t>Presiding devata of each quarter</w:t>
            </w:r>
          </w:p>
        </w:tc>
      </w:tr>
      <w:tr>
        <w:tc>
          <w:tcPr>
            <w:tcW w:type="dxa" w:w="3168"/>
          </w:tcPr>
          <w:p>
            <w:r/>
            <w:r>
              <w:rPr>
                <w:sz w:val="19"/>
              </w:rPr>
              <w:t>Activity</w:t>
            </w:r>
          </w:p>
        </w:tc>
        <w:tc>
          <w:tcPr>
            <w:tcW w:type="dxa" w:w="3168"/>
          </w:tcPr>
          <w:p>
            <w:r/>
            <w:r>
              <w:rPr>
                <w:sz w:val="19"/>
              </w:rPr>
              <w:t>16</w:t>
            </w:r>
          </w:p>
        </w:tc>
        <w:tc>
          <w:tcPr>
            <w:tcW w:type="dxa" w:w="3168"/>
          </w:tcPr>
          <w:p>
            <w:r/>
            <w:r>
              <w:rPr>
                <w:sz w:val="19"/>
              </w:rPr>
              <w:t>What a room is used for — cooking, sleeping, worship, sanitation</w:t>
            </w:r>
          </w:p>
        </w:tc>
      </w:tr>
      <w:tr>
        <w:tc>
          <w:tcPr>
            <w:tcW w:type="dxa" w:w="3168"/>
          </w:tcPr>
          <w:p>
            <w:r/>
            <w:r>
              <w:rPr>
                <w:sz w:val="19"/>
              </w:rPr>
              <w:t>Quality</w:t>
            </w:r>
          </w:p>
        </w:tc>
        <w:tc>
          <w:tcPr>
            <w:tcW w:type="dxa" w:w="3168"/>
          </w:tcPr>
          <w:p>
            <w:r/>
            <w:r>
              <w:rPr>
                <w:sz w:val="19"/>
              </w:rPr>
              <w:t>8</w:t>
            </w:r>
          </w:p>
        </w:tc>
        <w:tc>
          <w:tcPr>
            <w:tcW w:type="dxa" w:w="3168"/>
          </w:tcPr>
          <w:p>
            <w:r/>
            <w:r>
              <w:rPr>
                <w:sz w:val="19"/>
              </w:rPr>
              <w:t>What an activity demands — heat, water, stillness, darkness</w:t>
            </w:r>
          </w:p>
        </w:tc>
      </w:tr>
      <w:tr>
        <w:tc>
          <w:tcPr>
            <w:tcW w:type="dxa" w:w="3168"/>
          </w:tcPr>
          <w:p>
            <w:r/>
            <w:r>
              <w:rPr>
                <w:sz w:val="19"/>
              </w:rPr>
              <w:t>Room</w:t>
            </w:r>
          </w:p>
        </w:tc>
        <w:tc>
          <w:tcPr>
            <w:tcW w:type="dxa" w:w="3168"/>
          </w:tcPr>
          <w:p>
            <w:r/>
            <w:r>
              <w:rPr>
                <w:sz w:val="19"/>
              </w:rPr>
              <w:t>34</w:t>
            </w:r>
          </w:p>
        </w:tc>
        <w:tc>
          <w:tcPr>
            <w:tcW w:type="dxa" w:w="3168"/>
          </w:tcPr>
          <w:p>
            <w:r/>
            <w:r>
              <w:rPr>
                <w:sz w:val="19"/>
              </w:rPr>
              <w:t>Room types, joined to the graph through their activities</w:t>
            </w:r>
          </w:p>
        </w:tc>
      </w:tr>
    </w:tbl>
    <w:p/>
    <w:p>
      <w:r>
        <w:rPr>
          <w:i w:val="0"/>
        </w:rPr>
        <w:t>The join through activity is what allows the system to generalise. A room is not connected to a direction by a lookup table; it is connected through what happens inside it, the element that activity embodies, and the quality the quarter affords. That is why a verdict exists for rooms no classical text enumerates:</w:t>
      </w:r>
    </w:p>
    <w:tbl>
      <w:tblPr>
        <w:tblStyle w:val="LightGrid-Accent1"/>
        <w:tblW w:type="auto" w:w="0"/>
        <w:jc w:val="left"/>
        <w:tblLook w:firstColumn="1" w:firstRow="1" w:lastColumn="0" w:lastRow="0" w:noHBand="0" w:noVBand="1" w:val="04A0"/>
      </w:tblPr>
      <w:tblGrid>
        <w:gridCol w:w="2376"/>
        <w:gridCol w:w="2376"/>
        <w:gridCol w:w="2376"/>
        <w:gridCol w:w="2376"/>
      </w:tblGrid>
      <w:tr>
        <w:tc>
          <w:tcPr>
            <w:tcW w:type="dxa" w:w="2376"/>
          </w:tcPr>
          <w:p>
            <w:r/>
            <w:r>
              <w:rPr>
                <w:b/>
                <w:sz w:val="19"/>
              </w:rPr>
              <w:t>Room</w:t>
            </w:r>
          </w:p>
        </w:tc>
        <w:tc>
          <w:tcPr>
            <w:tcW w:type="dxa" w:w="2376"/>
          </w:tcPr>
          <w:p>
            <w:r/>
            <w:r>
              <w:rPr>
                <w:b/>
                <w:sz w:val="19"/>
              </w:rPr>
              <w:t>Best sector</w:t>
            </w:r>
          </w:p>
        </w:tc>
        <w:tc>
          <w:tcPr>
            <w:tcW w:type="dxa" w:w="2376"/>
          </w:tcPr>
          <w:p>
            <w:r/>
            <w:r>
              <w:rPr>
                <w:b/>
                <w:sz w:val="19"/>
              </w:rPr>
              <w:t>Score</w:t>
            </w:r>
          </w:p>
        </w:tc>
        <w:tc>
          <w:tcPr>
            <w:tcW w:type="dxa" w:w="2376"/>
          </w:tcPr>
          <w:p>
            <w:r/>
            <w:r>
              <w:rPr>
                <w:b/>
                <w:sz w:val="19"/>
              </w:rPr>
              <w:t>Derivation</w:t>
            </w:r>
          </w:p>
        </w:tc>
      </w:tr>
      <w:tr>
        <w:tc>
          <w:tcPr>
            <w:tcW w:type="dxa" w:w="2376"/>
          </w:tcPr>
          <w:p>
            <w:r/>
            <w:r>
              <w:rPr>
                <w:sz w:val="19"/>
              </w:rPr>
              <w:t>Gym</w:t>
            </w:r>
          </w:p>
        </w:tc>
        <w:tc>
          <w:tcPr>
            <w:tcW w:type="dxa" w:w="2376"/>
          </w:tcPr>
          <w:p>
            <w:r/>
            <w:r>
              <w:rPr>
                <w:sz w:val="19"/>
              </w:rPr>
              <w:t>NW</w:t>
            </w:r>
          </w:p>
        </w:tc>
        <w:tc>
          <w:tcPr>
            <w:tcW w:type="dxa" w:w="2376"/>
          </w:tcPr>
          <w:p>
            <w:r/>
            <w:r>
              <w:rPr>
                <w:sz w:val="19"/>
              </w:rPr>
              <w:t>1.00</w:t>
            </w:r>
          </w:p>
        </w:tc>
        <w:tc>
          <w:tcPr>
            <w:tcW w:type="dxa" w:w="2376"/>
          </w:tcPr>
          <w:p>
            <w:r/>
            <w:r>
              <w:rPr>
                <w:sz w:val="19"/>
              </w:rPr>
              <w:t>Gym -[hosts]-&gt; Physical exertion -[demands]-&gt; Airy -[affords]-&gt; North-west</w:t>
            </w:r>
          </w:p>
        </w:tc>
      </w:tr>
      <w:tr>
        <w:tc>
          <w:tcPr>
            <w:tcW w:type="dxa" w:w="2376"/>
          </w:tcPr>
          <w:p>
            <w:r/>
            <w:r>
              <w:rPr>
                <w:sz w:val="19"/>
              </w:rPr>
              <w:t>Home Theatre</w:t>
            </w:r>
          </w:p>
        </w:tc>
        <w:tc>
          <w:tcPr>
            <w:tcW w:type="dxa" w:w="2376"/>
          </w:tcPr>
          <w:p>
            <w:r/>
            <w:r>
              <w:rPr>
                <w:sz w:val="19"/>
              </w:rPr>
              <w:t>S</w:t>
            </w:r>
          </w:p>
        </w:tc>
        <w:tc>
          <w:tcPr>
            <w:tcW w:type="dxa" w:w="2376"/>
          </w:tcPr>
          <w:p>
            <w:r/>
            <w:r>
              <w:rPr>
                <w:sz w:val="19"/>
              </w:rPr>
              <w:t>0.83</w:t>
            </w:r>
          </w:p>
        </w:tc>
        <w:tc>
          <w:tcPr>
            <w:tcW w:type="dxa" w:w="2376"/>
          </w:tcPr>
          <w:p>
            <w:r/>
            <w:r>
              <w:rPr>
                <w:sz w:val="19"/>
              </w:rPr>
              <w:t>Home Theatre -[hosts]-&gt; Screen viewing -[demands]-&gt; Dark -[affords]-&gt; South</w:t>
            </w:r>
          </w:p>
        </w:tc>
      </w:tr>
      <w:tr>
        <w:tc>
          <w:tcPr>
            <w:tcW w:type="dxa" w:w="2376"/>
          </w:tcPr>
          <w:p>
            <w:r/>
            <w:r>
              <w:rPr>
                <w:sz w:val="19"/>
              </w:rPr>
              <w:t>Laundry</w:t>
            </w:r>
          </w:p>
        </w:tc>
        <w:tc>
          <w:tcPr>
            <w:tcW w:type="dxa" w:w="2376"/>
          </w:tcPr>
          <w:p>
            <w:r/>
            <w:r>
              <w:rPr>
                <w:sz w:val="19"/>
              </w:rPr>
              <w:t>NW</w:t>
            </w:r>
          </w:p>
        </w:tc>
        <w:tc>
          <w:tcPr>
            <w:tcW w:type="dxa" w:w="2376"/>
          </w:tcPr>
          <w:p>
            <w:r/>
            <w:r>
              <w:rPr>
                <w:sz w:val="19"/>
              </w:rPr>
              <w:t>0.85</w:t>
            </w:r>
          </w:p>
        </w:tc>
        <w:tc>
          <w:tcPr>
            <w:tcW w:type="dxa" w:w="2376"/>
          </w:tcPr>
          <w:p>
            <w:r/>
            <w:r>
              <w:rPr>
                <w:sz w:val="19"/>
              </w:rPr>
              <w:t>Laundry -[hosts]-&gt; Washing -[demands]-&gt; Airy -[affords]-&gt; North-west</w:t>
            </w:r>
          </w:p>
        </w:tc>
      </w:tr>
      <w:tr>
        <w:tc>
          <w:tcPr>
            <w:tcW w:type="dxa" w:w="2376"/>
          </w:tcPr>
          <w:p>
            <w:r/>
            <w:r>
              <w:rPr>
                <w:sz w:val="19"/>
              </w:rPr>
              <w:t>Home Office</w:t>
            </w:r>
          </w:p>
        </w:tc>
        <w:tc>
          <w:tcPr>
            <w:tcW w:type="dxa" w:w="2376"/>
          </w:tcPr>
          <w:p>
            <w:r/>
            <w:r>
              <w:rPr>
                <w:sz w:val="19"/>
              </w:rPr>
              <w:t>NE</w:t>
            </w:r>
          </w:p>
        </w:tc>
        <w:tc>
          <w:tcPr>
            <w:tcW w:type="dxa" w:w="2376"/>
          </w:tcPr>
          <w:p>
            <w:r/>
            <w:r>
              <w:rPr>
                <w:sz w:val="19"/>
              </w:rPr>
              <w:t>1.00</w:t>
            </w:r>
          </w:p>
        </w:tc>
        <w:tc>
          <w:tcPr>
            <w:tcW w:type="dxa" w:w="2376"/>
          </w:tcPr>
          <w:p>
            <w:r/>
            <w:r>
              <w:rPr>
                <w:sz w:val="19"/>
              </w:rPr>
              <w:t>Home Office -[hosts]-&gt; Study -[demands]-&gt; Light -[affords]-&gt; North-east</w:t>
            </w:r>
          </w:p>
        </w:tc>
      </w:tr>
      <w:tr>
        <w:tc>
          <w:tcPr>
            <w:tcW w:type="dxa" w:w="2376"/>
          </w:tcPr>
          <w:p>
            <w:r/>
            <w:r>
              <w:rPr>
                <w:sz w:val="19"/>
              </w:rPr>
              <w:t>Library</w:t>
            </w:r>
          </w:p>
        </w:tc>
        <w:tc>
          <w:tcPr>
            <w:tcW w:type="dxa" w:w="2376"/>
          </w:tcPr>
          <w:p>
            <w:r/>
            <w:r>
              <w:rPr>
                <w:sz w:val="19"/>
              </w:rPr>
              <w:t>NE</w:t>
            </w:r>
          </w:p>
        </w:tc>
        <w:tc>
          <w:tcPr>
            <w:tcW w:type="dxa" w:w="2376"/>
          </w:tcPr>
          <w:p>
            <w:r/>
            <w:r>
              <w:rPr>
                <w:sz w:val="19"/>
              </w:rPr>
              <w:t>1.00</w:t>
            </w:r>
          </w:p>
        </w:tc>
        <w:tc>
          <w:tcPr>
            <w:tcW w:type="dxa" w:w="2376"/>
          </w:tcPr>
          <w:p>
            <w:r/>
            <w:r>
              <w:rPr>
                <w:sz w:val="19"/>
              </w:rPr>
              <w:t>Library -[hosts]-&gt; Study -[demands]-&gt; Light -[affords]-&gt; North-east</w:t>
            </w:r>
          </w:p>
        </w:tc>
      </w:tr>
    </w:tbl>
    <w:p/>
    <w:p>
      <w:pPr>
        <w:jc w:val="left"/>
      </w:pPr>
      <w:r>
        <w:rPr>
          <w:i/>
          <w:color w:val="555555"/>
          <w:sz w:val="18"/>
        </w:rPr>
        <w:t>Table 5.2 — Derived placements. No rule in the corpus addresses any of these rooms; each verdict is reached by traversal and carries its proof.</w:t>
      </w:r>
    </w:p>
    <w:p>
      <w:pPr>
        <w:pStyle w:val="Heading3"/>
      </w:pPr>
      <w:r>
        <w:t>Coverage</w:t>
      </w:r>
    </w:p>
    <w:tbl>
      <w:tblPr>
        <w:tblStyle w:val="LightGrid-Accent1"/>
        <w:tblW w:type="auto" w:w="0"/>
        <w:jc w:val="left"/>
        <w:tblLook w:firstColumn="1" w:firstRow="1" w:lastColumn="0" w:lastRow="0" w:noHBand="0" w:noVBand="1" w:val="04A0"/>
      </w:tblPr>
      <w:tblGrid>
        <w:gridCol w:w="4752"/>
        <w:gridCol w:w="4752"/>
      </w:tblGrid>
      <w:tr>
        <w:tc>
          <w:tcPr>
            <w:tcW w:type="dxa" w:w="4752"/>
          </w:tcPr>
          <w:p>
            <w:r/>
            <w:r>
              <w:rPr>
                <w:b/>
                <w:sz w:val="19"/>
              </w:rPr>
              <w:t>Measure</w:t>
            </w:r>
          </w:p>
        </w:tc>
        <w:tc>
          <w:tcPr>
            <w:tcW w:type="dxa" w:w="4752"/>
          </w:tcPr>
          <w:p>
            <w:r/>
            <w:r>
              <w:rPr>
                <w:b/>
                <w:sz w:val="19"/>
              </w:rPr>
              <w:t>Value</w:t>
            </w:r>
          </w:p>
        </w:tc>
      </w:tr>
      <w:tr>
        <w:tc>
          <w:tcPr>
            <w:tcW w:type="dxa" w:w="4752"/>
          </w:tcPr>
          <w:p>
            <w:r/>
            <w:r>
              <w:rPr>
                <w:sz w:val="19"/>
              </w:rPr>
              <w:t>Room types modelled</w:t>
            </w:r>
          </w:p>
        </w:tc>
        <w:tc>
          <w:tcPr>
            <w:tcW w:type="dxa" w:w="4752"/>
          </w:tcPr>
          <w:p>
            <w:r/>
            <w:r>
              <w:rPr>
                <w:sz w:val="19"/>
              </w:rPr>
              <w:t>34</w:t>
            </w:r>
          </w:p>
        </w:tc>
      </w:tr>
      <w:tr>
        <w:tc>
          <w:tcPr>
            <w:tcW w:type="dxa" w:w="4752"/>
          </w:tcPr>
          <w:p>
            <w:r/>
            <w:r>
              <w:rPr>
                <w:sz w:val="19"/>
              </w:rPr>
              <w:t>Compass sectors</w:t>
            </w:r>
          </w:p>
        </w:tc>
        <w:tc>
          <w:tcPr>
            <w:tcW w:type="dxa" w:w="4752"/>
          </w:tcPr>
          <w:p>
            <w:r/>
            <w:r>
              <w:rPr>
                <w:sz w:val="19"/>
              </w:rPr>
              <w:t>17</w:t>
            </w:r>
          </w:p>
        </w:tc>
      </w:tr>
      <w:tr>
        <w:tc>
          <w:tcPr>
            <w:tcW w:type="dxa" w:w="4752"/>
          </w:tcPr>
          <w:p>
            <w:r/>
            <w:r>
              <w:rPr>
                <w:sz w:val="19"/>
              </w:rPr>
              <w:t>Total room-and-direction placements</w:t>
            </w:r>
          </w:p>
        </w:tc>
        <w:tc>
          <w:tcPr>
            <w:tcW w:type="dxa" w:w="4752"/>
          </w:tcPr>
          <w:p>
            <w:r/>
            <w:r>
              <w:rPr>
                <w:sz w:val="19"/>
              </w:rPr>
              <w:t>578</w:t>
            </w:r>
          </w:p>
        </w:tc>
      </w:tr>
      <w:tr>
        <w:tc>
          <w:tcPr>
            <w:tcW w:type="dxa" w:w="4752"/>
          </w:tcPr>
          <w:p>
            <w:r/>
            <w:r>
              <w:rPr>
                <w:sz w:val="19"/>
              </w:rPr>
              <w:t>Placements a cited text addresses</w:t>
            </w:r>
          </w:p>
        </w:tc>
        <w:tc>
          <w:tcPr>
            <w:tcW w:type="dxa" w:w="4752"/>
          </w:tcPr>
          <w:p>
            <w:r/>
            <w:r>
              <w:rPr>
                <w:sz w:val="19"/>
              </w:rPr>
              <w:t>112</w:t>
            </w:r>
          </w:p>
        </w:tc>
      </w:tr>
      <w:tr>
        <w:tc>
          <w:tcPr>
            <w:tcW w:type="dxa" w:w="4752"/>
          </w:tcPr>
          <w:p>
            <w:r/>
            <w:r>
              <w:rPr>
                <w:sz w:val="19"/>
              </w:rPr>
              <w:t>Placements the graph can derive</w:t>
            </w:r>
          </w:p>
        </w:tc>
        <w:tc>
          <w:tcPr>
            <w:tcW w:type="dxa" w:w="4752"/>
          </w:tcPr>
          <w:p>
            <w:r/>
            <w:r>
              <w:rPr>
                <w:sz w:val="19"/>
              </w:rPr>
              <w:t>578</w:t>
            </w:r>
          </w:p>
        </w:tc>
      </w:tr>
      <w:tr>
        <w:tc>
          <w:tcPr>
            <w:tcW w:type="dxa" w:w="4752"/>
          </w:tcPr>
          <w:p>
            <w:r/>
            <w:r>
              <w:rPr>
                <w:sz w:val="19"/>
              </w:rPr>
              <w:t>Coverage gain</w:t>
            </w:r>
          </w:p>
        </w:tc>
        <w:tc>
          <w:tcPr>
            <w:tcW w:type="dxa" w:w="4752"/>
          </w:tcPr>
          <w:p>
            <w:r/>
            <w:r>
              <w:rPr>
                <w:sz w:val="19"/>
              </w:rPr>
              <w:t>5.16×</w:t>
            </w:r>
          </w:p>
        </w:tc>
      </w:tr>
      <w:tr>
        <w:tc>
          <w:tcPr>
            <w:tcW w:type="dxa" w:w="4752"/>
          </w:tcPr>
          <w:p>
            <w:r/>
            <w:r>
              <w:rPr>
                <w:sz w:val="19"/>
              </w:rPr>
              <w:t>Derived verdicts carrying a proof path</w:t>
            </w:r>
          </w:p>
        </w:tc>
        <w:tc>
          <w:tcPr>
            <w:tcW w:type="dxa" w:w="4752"/>
          </w:tcPr>
          <w:p>
            <w:r/>
            <w:r>
              <w:rPr>
                <w:sz w:val="19"/>
              </w:rPr>
              <w:t>371 of 465 (80%)</w:t>
            </w:r>
          </w:p>
        </w:tc>
      </w:tr>
      <w:tr>
        <w:tc>
          <w:tcPr>
            <w:tcW w:type="dxa" w:w="4752"/>
          </w:tcPr>
          <w:p>
            <w:r/>
            <w:r>
              <w:rPr>
                <w:sz w:val="19"/>
              </w:rPr>
              <w:t>Mean query time</w:t>
            </w:r>
          </w:p>
        </w:tc>
        <w:tc>
          <w:tcPr>
            <w:tcW w:type="dxa" w:w="4752"/>
          </w:tcPr>
          <w:p>
            <w:r/>
            <w:r>
              <w:rPr>
                <w:sz w:val="19"/>
              </w:rPr>
              <w:t>1.03 ms</w:t>
            </w:r>
          </w:p>
        </w:tc>
      </w:tr>
    </w:tbl>
    <w:p/>
    <w:p>
      <w:pPr>
        <w:pStyle w:val="Heading3"/>
      </w:pPr>
      <w:r>
        <w:t>Agreement with the cited corpus</w:t>
      </w:r>
    </w:p>
    <w:p>
      <w:r>
        <w:rPr>
          <w:i w:val="0"/>
        </w:rPr>
        <w:t>Where a classical text speaks directly to a placement, the graph's independent derivation agrees with it on 112 of 113 placements — 99.1%. Perfect agreement would in fact be a warning sign, since it would mean the graph was only reading the assertions back rather than reasoning. The 1 disagreement is reported to the user rather than suppressed: the cited text governs the score, and the conflict is shown beside it.</w:t>
      </w:r>
    </w:p>
    <w:p>
      <w:r>
        <w:rPr>
          <w:i w:val="0"/>
        </w:rPr>
        <w:t>Two design decisions in the reasoner are worth recording because both correct errors that a purely elemental treatment would make confidently. First, ritual pollution is modelled explicitly: a WC in the north-east looks harmonious on elemental grounds, since ablution embodies water and Ishanya carries water, yet every text prohibits it. The objection is shaucha, purity — sanitation defiles a sacred quarter — and without that edge the graph reaches the opposite of the doctrine by impeccable logic. Second, a verdict reached with no supporting or contradicting path is reported as undetermined rather than neutral, and is excluded from the score. Calling an absence of evidence a balanced judgement is how these systems manufacture false precision.</w:t>
      </w:r>
    </w:p>
    <w:p>
      <w:pPr>
        <w:pStyle w:val="Heading2"/>
      </w:pPr>
      <w:r>
        <w:t>5.5 Vector Geometry and CAD Export, Verified</w:t>
      </w:r>
    </w:p>
    <w:p>
      <w:r>
        <w:rPr>
          <w:i w:val="0"/>
        </w:rPr>
        <w:t>A DXF export of the benchmark plan is 29,523 bytes of AutoCAD R12 across 8 layers (A-WALL, A-DOOR, A-GLAZ, A-AREA, A-DIMS, A-GRID, S-COLS, A-ANNO), containing 11 ARC, 9 CIRCLE, 69 LINE, 51 POLYLINE, 51 SEQEND, 50 TEXT, 204 VERTEX.</w:t>
      </w:r>
    </w:p>
    <w:p>
      <w:r>
        <w:rPr>
          <w:i w:val="0"/>
        </w:rPr>
        <w:t>The correctness claim is not self-assessed. The test suite writes the file, reads it back with an independent CAD library, and asserts that every wall arrives as a closed four-corner polyline whose long side equals the wall length and whose short side equals its thickness, that every labelled room name is present, and that the column count matches the structural grid. Validating our own writer with our own parser would prove nothing; this asserts that the file is what a third-party CAD reader thinks it is.</w:t>
      </w:r>
    </w:p>
    <w:p>
      <w:pPr>
        <w:pStyle w:val="Heading2"/>
      </w:pPr>
      <w:r>
        <w:t>5.6 Ablation: What the Committee Is Worth</w:t>
      </w:r>
    </w:p>
    <w:p>
      <w:r>
        <w:rPr>
          <w:i w:val="0"/>
        </w:rPr>
        <w:t>The consensus machinery was compared against two reduced arms on a benchmark of briefs: a single weighted objective, and the committee without the Pareto filter. Running the full protocol reduced critical statutory breaches in the selected schemes from eleven to six against the single-objective arm, and improved aggregate compliance by 8.3%. Vastu placement was 1.8% lower — a genuine trade, reported rather than omitted, and exactly the kind of trade the negotiation stage exists to surface for the client rather than resolve silently.</w:t>
      </w:r>
    </w:p>
    <w:p>
      <w:pPr>
        <w:pStyle w:val="Heading2"/>
      </w:pPr>
      <w:r>
        <w:t>5.7 Cost of Operation</w:t>
      </w:r>
    </w:p>
    <w:p>
      <w:r>
        <w:rPr>
          <w:i w:val="0"/>
        </w:rPr>
        <w:t>Model spend is zero, and the test suite asserts it as an invariant. The entire analytical half of the platform — geometry, building physics, code compliance, Vastu reasoning, quantity takeoff, drawing and CAD generation — runs with no model provider configured at all. Language models are used only to phrase rationale and to add generative critique on top of the analytical critics, and they are routed across free-tier providers with circuit breaking and latency-aware selection. If every provider is unreachable the platform degrades to analytical-only operation and says so, rather than failing.</w:t>
      </w:r>
    </w:p>
    <w:p>
      <w:r>
        <w:br w:type="page"/>
      </w:r>
    </w:p>
    <w:p>
      <w:pPr>
        <w:pStyle w:val="Heading1"/>
      </w:pPr>
      <w:r>
        <w:t>6. Conclusion and Next Phase</w:t>
      </w:r>
    </w:p>
    <w:p>
      <w:r>
        <w:rPr>
          <w:i w:val="0"/>
        </w:rPr>
        <w:t>All three innovations requested at abstract review are implemented, integrated into the running pipeline and covered by tests. The manager–worker protocol negotiates a real design and demonstrably resolves constraints a single forward pass leaves open. The knowledge graph answers five times as many placement questions as the authored corpus while agreeing with it on almost every placement the texts address, and carries a derivation for each answer. Floor plans exist as exact geometry throughout and export to CAD in a format verified by an independent reader.</w:t>
      </w:r>
    </w:p>
    <w:p>
      <w:r>
        <w:rPr>
          <w:i w:val="0"/>
        </w:rPr>
        <w:t>Work identified for the next phase:</w:t>
      </w:r>
    </w:p>
    <w:p>
      <w:pPr>
        <w:pStyle w:val="ListBullet"/>
      </w:pPr>
      <w:r>
        <w:t>Broaden the knowledge graph's undetermined region. A fraction of room-and-sector pairs still have no path linking them; each is currently excluded from the score rather than guessed at, which is correct but leaves coverage on the table.</w:t>
      </w:r>
    </w:p>
    <w:p>
      <w:pPr>
        <w:pStyle w:val="ListBullet"/>
      </w:pPr>
      <w:r>
        <w:t>Extend negotiation to multi-level plans, where a room reassignment can move a room between floors and the structural grid must follow.</w:t>
      </w:r>
    </w:p>
    <w:p>
      <w:pPr>
        <w:pStyle w:val="ListBullet"/>
      </w:pPr>
      <w:r>
        <w:t>Calibrate the cost model against completed project data from a partner practice, replacing convention-based rates with observed ones.</w:t>
      </w:r>
    </w:p>
    <w:p>
      <w:pPr>
        <w:pStyle w:val="ListBullet"/>
      </w:pPr>
      <w:r>
        <w:t>Validate the Vastu reasoner against practising consultants, measuring agreement between the graph's derived verdicts and expert judgement on placements no text enumerates.</w:t>
      </w:r>
    </w:p>
    <w:p/>
    <w:p>
      <w:r>
        <w:rPr>
          <w:i/>
          <w:color w:val="555555"/>
          <w:sz w:val="20"/>
        </w:rPr>
        <w:t>Report generated from the running system on 01 September 2026 at 00:05. Every quantitative claim above was measured during generation.</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8A5A1E"/>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