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4032"/>
      </w:tblGrid>
      <w:tr>
        <w:tc>
          <w:tcPr>
            <w:tcW w:type="dxa" w:w="4824"/>
            <w:shd w:fill="0D9488" w:color="0D9488" w:val="clear"/>
            <w:tcBorders/>
            <w:tcBorders/>
            <w:tcBorders/>
            <w:tcBorders/>
          </w:tcPr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  🛵 Food Delivery Demand Pulse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/>
                <w:color w:val="FFFFFF"/>
                <w:sz w:val="20"/>
              </w:rPr>
              <w:t xml:space="preserve">  Rider Incentive Policy — Executive Summary</w:t>
            </w:r>
          </w:p>
        </w:tc>
        <w:tc>
          <w:tcPr>
            <w:tcW w:type="dxa" w:w="4824"/>
            <w:shd w:fill="0D9488" w:color="0D9488" w:val="clear"/>
            <w:tcBorders/>
            <w:tcBorders/>
            <w:tcBorders/>
            <w:tcBorders/>
          </w:tcPr>
          <w:p>
            <w:pPr>
              <w:spacing w:before="120"/>
              <w:jc w:val="right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May 2025  </w:t>
            </w:r>
          </w:p>
          <w:p>
            <w:pPr>
              <w:spacing w:after="120"/>
              <w:jc w:val="right"/>
            </w:pPr>
            <w:r>
              <w:rPr>
                <w:rFonts w:ascii="Calibri" w:hAnsi="Calibri"/>
                <w:b w:val="0"/>
                <w:i/>
                <w:color w:val="FFFFFF"/>
                <w:sz w:val="18"/>
              </w:rPr>
              <w:t xml:space="preserve">CONFIDENTIAL  </w:t>
            </w:r>
          </w:p>
        </w:tc>
      </w:tr>
    </w:tbl>
    <w:p/>
    <w:p>
      <w:pPr>
        <w:spacing w:after="60"/>
      </w:pPr>
      <w:r>
        <w:rPr>
          <w:rFonts w:ascii="Calibri" w:hAnsi="Calibri"/>
          <w:b/>
          <w:i w:val="0"/>
          <w:color w:val="0D9488"/>
          <w:sz w:val="22"/>
        </w:rPr>
        <w:t>SITUATION</w:t>
      </w:r>
    </w:p>
    <w:p>
      <w:pPr>
        <w:spacing w:after="160"/>
      </w:pPr>
      <w:r>
        <w:rPr>
          <w:rFonts w:ascii="Calibri" w:hAnsi="Calibri"/>
          <w:b w:val="0"/>
          <w:i w:val="0"/>
          <w:color w:val="475569"/>
          <w:sz w:val="20"/>
        </w:rPr>
        <w:t>Analysis of 50,000 orders across 7 Indian cities (Jan–Mar 2025) shows that rider surge incentives are applied uniformly throughout the day — regardless of actual demand. True demand peaks occur in narrow two-hour windows (Lunch 12–14 h, Dinner 18–21 h), yet surge fires at the same ~24% rate at 3 AM as it does at 8 PM. This misalignment wastes incentive budget and leaves peak-hour rider supply under-compensated.</w:t>
      </w:r>
    </w:p>
    <w:p>
      <w:pPr>
        <w:spacing w:after="80"/>
      </w:pPr>
      <w:r>
        <w:rPr>
          <w:rFonts w:ascii="Calibri" w:hAnsi="Calibri"/>
          <w:b/>
          <w:i w:val="0"/>
          <w:color w:val="0D9488"/>
          <w:sz w:val="22"/>
        </w:rPr>
        <w:t>KEY FINDINGS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vAlign w:val="center"/>
            <w:shd w:fill="0F172A" w:color="0F172A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</w:t>
            </w:r>
          </w:p>
        </w:tc>
        <w:tc>
          <w:tcPr>
            <w:tcW w:type="dxa" w:w="4464"/>
            <w:vAlign w:val="center"/>
            <w:shd w:fill="0F172A" w:color="0F172A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Finding</w:t>
            </w:r>
          </w:p>
        </w:tc>
        <w:tc>
          <w:tcPr>
            <w:tcW w:type="dxa" w:w="4464"/>
            <w:vAlign w:val="center"/>
            <w:shd w:fill="0F172A" w:color="0F172A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 What</w:t>
            </w:r>
          </w:p>
        </w:tc>
      </w:tr>
      <w:tr>
        <w:tc>
          <w:tcPr>
            <w:tcW w:type="dxa" w:w="2016"/>
            <w:vAlign w:val="center"/>
            <w:shd w:fill="FFFFFF" w:color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Peak hours</w:t>
            </w:r>
          </w:p>
        </w:tc>
        <w:tc>
          <w:tcPr>
            <w:tcW w:type="dxa" w:w="4464"/>
            <w:vAlign w:val="center"/>
            <w:shd w:fill="FFFFFF" w:color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12–14 h and 18–21 h carry top-quartile order volume</w:t>
            </w:r>
          </w:p>
        </w:tc>
        <w:tc>
          <w:tcPr>
            <w:tcW w:type="dxa" w:w="4464"/>
            <w:vAlign w:val="center"/>
            <w:shd w:fill="FFFFFF" w:color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6 hours out of 24 drive ~45% of orders</w:t>
            </w:r>
          </w:p>
        </w:tc>
      </w:tr>
      <w:tr>
        <w:tc>
          <w:tcPr>
            <w:tcW w:type="dxa" w:w="2016"/>
            <w:vAlign w:val="center"/>
            <w:shd w:fill="F8FAFC" w:color="F8FAFC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Surge timing</w:t>
            </w:r>
          </w:p>
        </w:tc>
        <w:tc>
          <w:tcPr>
            <w:tcW w:type="dxa" w:w="4464"/>
            <w:vAlign w:val="center"/>
            <w:shd w:fill="F8FAFC" w:color="F8FAFC" w:val="clea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Surge rate ~24% is nearly flat across all 24 hours</w:t>
            </w:r>
          </w:p>
        </w:tc>
        <w:tc>
          <w:tcPr>
            <w:tcW w:type="dxa" w:w="4464"/>
            <w:vAlign w:val="center"/>
            <w:shd w:fill="F8FAFC" w:color="F8FAFC" w:val="clea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No demand signal in current trigger</w:t>
            </w:r>
          </w:p>
        </w:tc>
      </w:tr>
      <w:tr>
        <w:tc>
          <w:tcPr>
            <w:tcW w:type="dxa" w:w="2016"/>
            <w:vAlign w:val="center"/>
            <w:shd w:fill="FFFFFF" w:color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City volume gap</w:t>
            </w:r>
          </w:p>
        </w:tc>
        <w:tc>
          <w:tcPr>
            <w:tcW w:type="dxa" w:w="4464"/>
            <w:vAlign w:val="center"/>
            <w:shd w:fill="FFFFFF" w:color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Bangalore 120 orders/day vs Kolkata 44 orders/day</w:t>
            </w:r>
          </w:p>
        </w:tc>
        <w:tc>
          <w:tcPr>
            <w:tcW w:type="dxa" w:w="4464"/>
            <w:vAlign w:val="center"/>
            <w:shd w:fill="FFFFFF" w:color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3× gap; one threshold fits neither</w:t>
            </w:r>
          </w:p>
        </w:tc>
      </w:tr>
      <w:tr>
        <w:tc>
          <w:tcPr>
            <w:tcW w:type="dxa" w:w="2016"/>
            <w:vAlign w:val="center"/>
            <w:shd w:fill="F8FAFC" w:color="F8FAFC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Weekend lift</w:t>
            </w:r>
          </w:p>
        </w:tc>
        <w:tc>
          <w:tcPr>
            <w:tcW w:type="dxa" w:w="4464"/>
            <w:vAlign w:val="center"/>
            <w:shd w:fill="F8FAFC" w:color="F8FAFC" w:val="clea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Weekends: 32% surge vs weekday 20%</w:t>
            </w:r>
          </w:p>
        </w:tc>
        <w:tc>
          <w:tcPr>
            <w:tcW w:type="dxa" w:w="4464"/>
            <w:vAlign w:val="center"/>
            <w:shd w:fill="F8FAFC" w:color="F8FAFC" w:val="clea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Applied reactively with ~15 min lag</w:t>
            </w:r>
          </w:p>
        </w:tc>
      </w:tr>
      <w:tr>
        <w:tc>
          <w:tcPr>
            <w:tcW w:type="dxa" w:w="2016"/>
            <w:vAlign w:val="center"/>
            <w:shd w:fill="FFFFFF" w:color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Cuisine insight</w:t>
            </w:r>
          </w:p>
        </w:tc>
        <w:tc>
          <w:tcPr>
            <w:tcW w:type="dxa" w:w="4464"/>
            <w:vAlign w:val="center"/>
            <w:shd w:fill="FFFFFF" w:color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Fast Food &amp; Biryani drive &gt;40% of peak-hour orders</w:t>
            </w:r>
          </w:p>
        </w:tc>
        <w:tc>
          <w:tcPr>
            <w:tcW w:type="dxa" w:w="4464"/>
            <w:vAlign w:val="center"/>
            <w:shd w:fill="FFFFFF" w:color="FFFFFF" w:val="clea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Priority cuisines for supply pre-positioning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i w:val="0"/>
          <w:color w:val="0D9488"/>
          <w:sz w:val="22"/>
        </w:rPr>
        <w:t>3 RECOMMENDATIONS — IMPLEMENT MONDAY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0296"/>
      </w:tblGrid>
      <w:tr>
        <w:tc>
          <w:tcPr>
            <w:tcW w:type="dxa" w:w="4824"/>
            <w:shd w:fill="0D9488" w:color="0D9488" w:val="clear"/>
          </w:tcPr>
          <w:p>
            <w:pPr>
              <w:spacing w:before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REC 1</w:t>
            </w:r>
          </w:p>
        </w:tc>
        <w:tc>
          <w:tcPr>
            <w:tcW w:type="dxa" w:w="4824"/>
            <w:shd w:fill="F8FAFC" w:color="F8FAFC" w:val="clear"/>
          </w:tcPr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 xml:space="preserve">Time-Locked Surge Windows  </w:t>
            </w:r>
            <w:r>
              <w:rPr>
                <w:rFonts w:ascii="Calibri" w:hAnsi="Calibri"/>
                <w:b w:val="0"/>
                <w:i/>
                <w:color w:val="475569"/>
                <w:sz w:val="16"/>
              </w:rPr>
              <w:t>[Effort: Low]</w:t>
            </w:r>
          </w:p>
          <w:p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 xml:space="preserve">Action: </w:t>
            </w: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Restrict automatic surge eligibility to 12:00–14:00 and 18:00–21:30 daily. Outside these windows, require manual override only.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D9488"/>
                <w:sz w:val="18"/>
              </w:rPr>
              <w:t xml:space="preserve">Expected impact: </w:t>
            </w: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Est. ₹2–4 L/month saving · ~11% fewer unnecessary surge payouts · Riders better compensated when it matters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0296"/>
      </w:tblGrid>
      <w:tr>
        <w:tc>
          <w:tcPr>
            <w:tcW w:type="dxa" w:w="4824"/>
            <w:shd w:fill="0891B2" w:color="0891B2" w:val="clear"/>
          </w:tcPr>
          <w:p>
            <w:pPr>
              <w:spacing w:before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REC 2</w:t>
            </w:r>
          </w:p>
        </w:tc>
        <w:tc>
          <w:tcPr>
            <w:tcW w:type="dxa" w:w="4824"/>
            <w:shd w:fill="F8FAFC" w:color="F8FAFC" w:val="clear"/>
          </w:tcPr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 xml:space="preserve">City-Differentiated Surge Thresholds  </w:t>
            </w:r>
            <w:r>
              <w:rPr>
                <w:rFonts w:ascii="Calibri" w:hAnsi="Calibri"/>
                <w:b w:val="0"/>
                <w:i/>
                <w:color w:val="475569"/>
                <w:sz w:val="16"/>
              </w:rPr>
              <w:t>[Effort: Medium]</w:t>
            </w:r>
          </w:p>
          <w:p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 xml:space="preserve">Action: </w:t>
            </w: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Tier A (Bangalore, Mumbai, Delhi): surge at 90th-pct hourly demand. Tier B (Chennai, Hyderabad, Kolkata, Pune): surge at 85th-pct.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D9488"/>
                <w:sz w:val="18"/>
              </w:rPr>
              <w:t xml:space="preserve">Expected impact: </w:t>
            </w: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Est. ₹1–2 L/month saving in Tier B · Improved rider supply in Tier A peaks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0296"/>
      </w:tblGrid>
      <w:tr>
        <w:tc>
          <w:tcPr>
            <w:tcW w:type="dxa" w:w="4824"/>
            <w:shd w:fill="7C3AED" w:color="7C3AED" w:val="clear"/>
          </w:tcPr>
          <w:p>
            <w:pPr>
              <w:spacing w:before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REC 3</w:t>
            </w:r>
          </w:p>
        </w:tc>
        <w:tc>
          <w:tcPr>
            <w:tcW w:type="dxa" w:w="4824"/>
            <w:shd w:fill="F8FAFC" w:color="F8FAFC" w:val="clear"/>
          </w:tcPr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 xml:space="preserve">Pre-Authorise Weekend Surge (10:00–23:00)  </w:t>
            </w:r>
            <w:r>
              <w:rPr>
                <w:rFonts w:ascii="Calibri" w:hAnsi="Calibri"/>
                <w:b w:val="0"/>
                <w:i/>
                <w:color w:val="475569"/>
                <w:sz w:val="16"/>
              </w:rPr>
              <w:t>[Effort: Low]</w:t>
            </w:r>
          </w:p>
          <w:p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 xml:space="preserve">Action: </w:t>
            </w: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Auto-enable surge Sat–Sun 10:00–23:00. Hard block before 10:00 (near-zero early-morning weekend demand).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D9488"/>
                <w:sz w:val="18"/>
              </w:rPr>
              <w:t xml:space="preserve">Expected impact: </w:t>
            </w:r>
            <w:r>
              <w:rPr>
                <w:rFonts w:ascii="Calibri" w:hAnsi="Calibri"/>
                <w:b w:val="0"/>
                <w:i w:val="0"/>
                <w:color w:val="475569"/>
                <w:sz w:val="18"/>
              </w:rPr>
              <w:t>Est. 8–12% p95 delivery time reduction on weekends · Eliminates 15-min activation lag · Reduces ops team weekend workload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i w:val="0"/>
          <w:color w:val="0D9488"/>
          <w:sz w:val="22"/>
        </w:rPr>
        <w:t>7-DAY DEMAND FORECAST (DELHI)</w:t>
      </w:r>
    </w:p>
    <w:p>
      <w:pPr>
        <w:spacing w:after="120"/>
      </w:pPr>
      <w:r>
        <w:rPr>
          <w:rFonts w:ascii="Calibri" w:hAnsi="Calibri"/>
          <w:b w:val="0"/>
          <w:i w:val="0"/>
          <w:color w:val="475569"/>
          <w:sz w:val="18"/>
        </w:rPr>
        <w:t>A Prophet time-series model was trained on 90 days of Delhi daily order data (fallback: seasonal-naïve). The 7-day forward forecast is available as forecast_delhi_7day.csv and rendered interactively in the Streamlit dashboard. Production accuracy should be evaluated weekly via MAPE (target &lt; 12%) and rolling walk-forward backtests.</w:t>
      </w:r>
    </w:p>
    <w:p>
      <w:r>
        <w:rPr>
          <w:rFonts w:ascii="Calibri" w:hAnsi="Calibri"/>
          <w:b/>
          <w:i w:val="0"/>
          <w:color w:val="0D9488"/>
          <w:sz w:val="18"/>
        </w:rPr>
        <w:t xml:space="preserve">NEXT STEPS  </w:t>
      </w:r>
      <w:r>
        <w:rPr>
          <w:rFonts w:ascii="Calibri" w:hAnsi="Calibri"/>
          <w:b w:val="0"/>
          <w:i w:val="0"/>
          <w:color w:val="475569"/>
          <w:sz w:val="18"/>
        </w:rPr>
        <w:t>Approve Rec 1 &amp; 3 for immediate deployment (low-effort). Commission 2-week A/B test for Rec 1 in Bangalore (see notebook for test design). Review city-tier thresholds with Engineering for Rec 2.</w:t>
      </w:r>
    </w:p>
    <w:p>
      <w:pPr>
        <w:spacing w:before="200"/>
      </w:pPr>
      <w:r>
        <w:rPr>
          <w:rFonts w:ascii="Calibri" w:hAnsi="Calibri"/>
          <w:b w:val="0"/>
          <w:i/>
          <w:color w:val="94A3B8"/>
          <w:sz w:val="16"/>
        </w:rPr>
        <w:t>Data: 50,000 synthetic orders · Jan–Mar 2025 · 7 cities · 9 cuisines  |  Live dashboard: Hugging Face Spaces · Analyst: Shreya Palod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