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CBAAC" w14:textId="77777777" w:rsidR="00DC3DC3" w:rsidRDefault="00DC3DC3" w:rsidP="00DC3DC3">
      <w:pPr>
        <w:jc w:val="center"/>
        <w:rPr>
          <w:b/>
          <w:bCs/>
          <w:sz w:val="48"/>
          <w:szCs w:val="48"/>
        </w:rPr>
      </w:pPr>
      <w:r w:rsidRPr="00DC3DC3">
        <w:rPr>
          <w:b/>
          <w:bCs/>
          <w:sz w:val="48"/>
          <w:szCs w:val="48"/>
          <w:highlight w:val="yellow"/>
        </w:rPr>
        <w:t>Business Insights</w:t>
      </w:r>
    </w:p>
    <w:p w14:paraId="7E5E3481" w14:textId="66B32D06" w:rsidR="00D142C5" w:rsidRPr="00D142C5" w:rsidRDefault="00D142C5" w:rsidP="00D142C5">
      <w:pPr>
        <w:rPr>
          <w:b/>
          <w:bCs/>
          <w:sz w:val="28"/>
          <w:szCs w:val="28"/>
        </w:rPr>
      </w:pPr>
      <w:r w:rsidRPr="00D142C5">
        <w:rPr>
          <w:b/>
          <w:bCs/>
          <w:sz w:val="28"/>
          <w:szCs w:val="28"/>
        </w:rPr>
        <w:t xml:space="preserve">A) </w:t>
      </w:r>
      <w:r w:rsidRPr="00D142C5">
        <w:rPr>
          <w:b/>
          <w:bCs/>
          <w:sz w:val="28"/>
          <w:szCs w:val="28"/>
        </w:rPr>
        <w:t>Real Estate Property Insights Dashboard</w:t>
      </w:r>
    </w:p>
    <w:p w14:paraId="71C04BCE" w14:textId="77777777" w:rsidR="00DC3DC3" w:rsidRPr="00DC3DC3" w:rsidRDefault="00DC3DC3" w:rsidP="00DC3DC3">
      <w:pPr>
        <w:numPr>
          <w:ilvl w:val="0"/>
          <w:numId w:val="1"/>
        </w:numPr>
        <w:jc w:val="both"/>
      </w:pPr>
      <w:r w:rsidRPr="00DC3DC3">
        <w:t xml:space="preserve">The platform covers </w:t>
      </w:r>
      <w:r w:rsidRPr="00DC3DC3">
        <w:rPr>
          <w:b/>
          <w:bCs/>
        </w:rPr>
        <w:t>20 states and 42 cities</w:t>
      </w:r>
      <w:r w:rsidRPr="00DC3DC3">
        <w:t>, showing wide national expansion and strong market reach.</w:t>
      </w:r>
    </w:p>
    <w:p w14:paraId="7929145F" w14:textId="77777777" w:rsidR="00DC3DC3" w:rsidRPr="00DC3DC3" w:rsidRDefault="00DC3DC3" w:rsidP="00DC3DC3">
      <w:pPr>
        <w:numPr>
          <w:ilvl w:val="0"/>
          <w:numId w:val="1"/>
        </w:numPr>
        <w:jc w:val="both"/>
      </w:pPr>
      <w:r w:rsidRPr="00DC3DC3">
        <w:t xml:space="preserve">With </w:t>
      </w:r>
      <w:r w:rsidRPr="00DC3DC3">
        <w:rPr>
          <w:b/>
          <w:bCs/>
        </w:rPr>
        <w:t>250K property listings</w:t>
      </w:r>
      <w:r w:rsidRPr="00DC3DC3">
        <w:t>, the platform handles a large, active real-estate inventory suitable for high-volume analysis.</w:t>
      </w:r>
    </w:p>
    <w:p w14:paraId="37FF6823" w14:textId="77777777" w:rsidR="00DC3DC3" w:rsidRPr="00DC3DC3" w:rsidRDefault="00DC3DC3" w:rsidP="00DC3DC3">
      <w:pPr>
        <w:numPr>
          <w:ilvl w:val="0"/>
          <w:numId w:val="1"/>
        </w:numPr>
        <w:jc w:val="both"/>
      </w:pPr>
      <w:r w:rsidRPr="00DC3DC3">
        <w:t xml:space="preserve">The </w:t>
      </w:r>
      <w:r w:rsidRPr="00DC3DC3">
        <w:rPr>
          <w:b/>
          <w:bCs/>
        </w:rPr>
        <w:t>average property price of 255 Lakhs</w:t>
      </w:r>
      <w:r w:rsidRPr="00DC3DC3">
        <w:t xml:space="preserve"> highlights strong demand for mid-to-high-end residential properties.</w:t>
      </w:r>
    </w:p>
    <w:p w14:paraId="5C4AE8A5" w14:textId="77777777" w:rsidR="00DC3DC3" w:rsidRPr="00DC3DC3" w:rsidRDefault="00DC3DC3" w:rsidP="00DC3DC3">
      <w:pPr>
        <w:numPr>
          <w:ilvl w:val="0"/>
          <w:numId w:val="1"/>
        </w:numPr>
        <w:jc w:val="both"/>
      </w:pPr>
      <w:r w:rsidRPr="00DC3DC3">
        <w:t xml:space="preserve">A </w:t>
      </w:r>
      <w:r w:rsidRPr="00DC3DC3">
        <w:rPr>
          <w:b/>
          <w:bCs/>
        </w:rPr>
        <w:t xml:space="preserve">median price of 9.2K per </w:t>
      </w:r>
      <w:proofErr w:type="spellStart"/>
      <w:r w:rsidRPr="00DC3DC3">
        <w:rPr>
          <w:b/>
          <w:bCs/>
        </w:rPr>
        <w:t>SqFt</w:t>
      </w:r>
      <w:proofErr w:type="spellEnd"/>
      <w:r w:rsidRPr="00DC3DC3">
        <w:t xml:space="preserve"> indicates that most listings are concentrated in premium urban markets.</w:t>
      </w:r>
    </w:p>
    <w:p w14:paraId="40CBEB4A" w14:textId="77777777" w:rsidR="00DC3DC3" w:rsidRPr="00DC3DC3" w:rsidRDefault="00DC3DC3" w:rsidP="00DC3DC3">
      <w:pPr>
        <w:numPr>
          <w:ilvl w:val="0"/>
          <w:numId w:val="1"/>
        </w:numPr>
        <w:jc w:val="both"/>
      </w:pPr>
      <w:r w:rsidRPr="00DC3DC3">
        <w:t xml:space="preserve">Only </w:t>
      </w:r>
      <w:r w:rsidRPr="00DC3DC3">
        <w:rPr>
          <w:b/>
          <w:bCs/>
        </w:rPr>
        <w:t>20.09% properties qualify as Good Investments</w:t>
      </w:r>
      <w:r w:rsidRPr="00DC3DC3">
        <w:t>, showing scarcity of high-ROI opportunities in the current market.</w:t>
      </w:r>
    </w:p>
    <w:p w14:paraId="6A0E5E8E" w14:textId="77777777" w:rsidR="00DC3DC3" w:rsidRPr="00DC3DC3" w:rsidRDefault="00DC3DC3" w:rsidP="00DC3DC3">
      <w:pPr>
        <w:numPr>
          <w:ilvl w:val="0"/>
          <w:numId w:val="1"/>
        </w:numPr>
        <w:jc w:val="both"/>
      </w:pPr>
      <w:r w:rsidRPr="00DC3DC3">
        <w:t xml:space="preserve">A large </w:t>
      </w:r>
      <w:r w:rsidRPr="00DC3DC3">
        <w:rPr>
          <w:b/>
          <w:bCs/>
        </w:rPr>
        <w:t>80% share of Bad Investments</w:t>
      </w:r>
      <w:r w:rsidRPr="00DC3DC3">
        <w:t xml:space="preserve"> reflects inflated prices or low future value potential across many regions.</w:t>
      </w:r>
    </w:p>
    <w:p w14:paraId="444E6446" w14:textId="77777777" w:rsidR="00DC3DC3" w:rsidRPr="00DC3DC3" w:rsidRDefault="00DC3DC3" w:rsidP="00DC3DC3">
      <w:pPr>
        <w:numPr>
          <w:ilvl w:val="0"/>
          <w:numId w:val="1"/>
        </w:numPr>
        <w:jc w:val="both"/>
      </w:pPr>
      <w:r w:rsidRPr="00DC3DC3">
        <w:t xml:space="preserve">All BHK categories show a similar pattern, with </w:t>
      </w:r>
      <w:r w:rsidRPr="00DC3DC3">
        <w:rPr>
          <w:b/>
          <w:bCs/>
        </w:rPr>
        <w:t>only ~0.4K Good Investment properties vs ~6K Bad Investments</w:t>
      </w:r>
      <w:r w:rsidRPr="00DC3DC3">
        <w:t xml:space="preserve"> per BHK type, indicating consistent investment quality regardless of configuration.</w:t>
      </w:r>
    </w:p>
    <w:p w14:paraId="0E69A07B" w14:textId="77777777" w:rsidR="00DC3DC3" w:rsidRPr="00DC3DC3" w:rsidRDefault="00DC3DC3" w:rsidP="00DC3DC3">
      <w:pPr>
        <w:numPr>
          <w:ilvl w:val="0"/>
          <w:numId w:val="1"/>
        </w:numPr>
        <w:jc w:val="both"/>
      </w:pPr>
      <w:r w:rsidRPr="00DC3DC3">
        <w:t xml:space="preserve">Higher BHK units (4BHK &amp; 5BHK) show </w:t>
      </w:r>
      <w:r w:rsidRPr="00DC3DC3">
        <w:rPr>
          <w:b/>
          <w:bCs/>
        </w:rPr>
        <w:t xml:space="preserve">slightly higher price per </w:t>
      </w:r>
      <w:proofErr w:type="spellStart"/>
      <w:r w:rsidRPr="00DC3DC3">
        <w:rPr>
          <w:b/>
          <w:bCs/>
        </w:rPr>
        <w:t>SqFt</w:t>
      </w:r>
      <w:proofErr w:type="spellEnd"/>
      <w:r w:rsidRPr="00DC3DC3">
        <w:rPr>
          <w:b/>
          <w:bCs/>
        </w:rPr>
        <w:t xml:space="preserve"> (6.1K–6.2K)</w:t>
      </w:r>
      <w:r w:rsidRPr="00DC3DC3">
        <w:t>, confirming premium positioning.</w:t>
      </w:r>
    </w:p>
    <w:p w14:paraId="053E5A5D" w14:textId="77777777" w:rsidR="00DC3DC3" w:rsidRPr="00DC3DC3" w:rsidRDefault="00DC3DC3" w:rsidP="00DC3DC3">
      <w:pPr>
        <w:numPr>
          <w:ilvl w:val="0"/>
          <w:numId w:val="1"/>
        </w:numPr>
        <w:jc w:val="both"/>
      </w:pPr>
      <w:r w:rsidRPr="00DC3DC3">
        <w:t xml:space="preserve">East-facing properties show the </w:t>
      </w:r>
      <w:r w:rsidRPr="00DC3DC3">
        <w:rPr>
          <w:b/>
          <w:bCs/>
        </w:rPr>
        <w:t>highest average price (~2397.9K Lakhs)</w:t>
      </w:r>
      <w:r w:rsidRPr="00DC3DC3">
        <w:t>, reflecting stronger cultural preference and demand.</w:t>
      </w:r>
    </w:p>
    <w:p w14:paraId="441D66CB" w14:textId="77777777" w:rsidR="00DC3DC3" w:rsidRPr="00DC3DC3" w:rsidRDefault="00DC3DC3" w:rsidP="00DC3DC3">
      <w:pPr>
        <w:numPr>
          <w:ilvl w:val="0"/>
          <w:numId w:val="1"/>
        </w:numPr>
        <w:jc w:val="both"/>
      </w:pPr>
      <w:r w:rsidRPr="00DC3DC3">
        <w:t xml:space="preserve">South-facing homes show </w:t>
      </w:r>
      <w:r w:rsidRPr="00DC3DC3">
        <w:rPr>
          <w:b/>
          <w:bCs/>
        </w:rPr>
        <w:t>slightly lower prices (~2369.2K Lakhs)</w:t>
      </w:r>
      <w:r w:rsidRPr="00DC3DC3">
        <w:t>, making them less preferred in many regions.</w:t>
      </w:r>
    </w:p>
    <w:p w14:paraId="36FD5EC0" w14:textId="77777777" w:rsidR="00DC3DC3" w:rsidRPr="00DC3DC3" w:rsidRDefault="00DC3DC3" w:rsidP="00DC3DC3">
      <w:pPr>
        <w:numPr>
          <w:ilvl w:val="0"/>
          <w:numId w:val="1"/>
        </w:numPr>
        <w:jc w:val="both"/>
      </w:pPr>
      <w:r w:rsidRPr="00DC3DC3">
        <w:t xml:space="preserve">Larger properties between </w:t>
      </w:r>
      <w:r w:rsidRPr="00DC3DC3">
        <w:rPr>
          <w:b/>
          <w:bCs/>
        </w:rPr>
        <w:t xml:space="preserve">4000–5000 </w:t>
      </w:r>
      <w:proofErr w:type="spellStart"/>
      <w:r w:rsidRPr="00DC3DC3">
        <w:rPr>
          <w:b/>
          <w:bCs/>
        </w:rPr>
        <w:t>SqFt</w:t>
      </w:r>
      <w:proofErr w:type="spellEnd"/>
      <w:r w:rsidRPr="00DC3DC3">
        <w:rPr>
          <w:b/>
          <w:bCs/>
        </w:rPr>
        <w:t xml:space="preserve"> still maintain ~20% Good Investment share</w:t>
      </w:r>
      <w:r w:rsidRPr="00DC3DC3">
        <w:t>, showing consistent ROI potential across sizes.</w:t>
      </w:r>
    </w:p>
    <w:p w14:paraId="3128BFE5" w14:textId="77777777" w:rsidR="00DC3DC3" w:rsidRPr="00DC3DC3" w:rsidRDefault="00DC3DC3" w:rsidP="00DC3DC3">
      <w:pPr>
        <w:numPr>
          <w:ilvl w:val="0"/>
          <w:numId w:val="1"/>
        </w:numPr>
        <w:jc w:val="both"/>
      </w:pPr>
      <w:r w:rsidRPr="00DC3DC3">
        <w:t>Cities with the highest number of good investment opportunities include:</w:t>
      </w:r>
      <w:r w:rsidRPr="00DC3DC3">
        <w:br/>
      </w:r>
      <w:r w:rsidRPr="00DC3DC3">
        <w:rPr>
          <w:b/>
          <w:bCs/>
        </w:rPr>
        <w:t xml:space="preserve">Coimbatore (6.46K), Ahmedabad (6.41K), </w:t>
      </w:r>
      <w:proofErr w:type="spellStart"/>
      <w:r w:rsidRPr="00DC3DC3">
        <w:rPr>
          <w:b/>
          <w:bCs/>
        </w:rPr>
        <w:t>Silchar</w:t>
      </w:r>
      <w:proofErr w:type="spellEnd"/>
      <w:r w:rsidRPr="00DC3DC3">
        <w:rPr>
          <w:b/>
          <w:bCs/>
        </w:rPr>
        <w:t xml:space="preserve"> (6.40K), Durgapur (6.39K), and Cuttack (6.36K)</w:t>
      </w:r>
      <w:r w:rsidRPr="00DC3DC3">
        <w:t>, making them the strongest markets for ROI-focused buyers.</w:t>
      </w:r>
    </w:p>
    <w:p w14:paraId="03568D5C" w14:textId="77777777" w:rsidR="00DC3DC3" w:rsidRPr="00DC3DC3" w:rsidRDefault="00DC3DC3" w:rsidP="00DC3DC3">
      <w:pPr>
        <w:numPr>
          <w:ilvl w:val="0"/>
          <w:numId w:val="1"/>
        </w:numPr>
        <w:jc w:val="both"/>
      </w:pPr>
      <w:r w:rsidRPr="00DC3DC3">
        <w:t xml:space="preserve">The </w:t>
      </w:r>
      <w:r w:rsidRPr="00DC3DC3">
        <w:rPr>
          <w:b/>
          <w:bCs/>
        </w:rPr>
        <w:t>Premium price segment dominates with 0.18M listings</w:t>
      </w:r>
      <w:r w:rsidRPr="00DC3DC3">
        <w:t>, representing the biggest share of inventory.</w:t>
      </w:r>
    </w:p>
    <w:p w14:paraId="2A79BBBE" w14:textId="77777777" w:rsidR="00DC3DC3" w:rsidRPr="00DC3DC3" w:rsidRDefault="00DC3DC3" w:rsidP="00DC3DC3">
      <w:pPr>
        <w:numPr>
          <w:ilvl w:val="0"/>
          <w:numId w:val="1"/>
        </w:numPr>
        <w:jc w:val="both"/>
      </w:pPr>
      <w:r w:rsidRPr="00DC3DC3">
        <w:t xml:space="preserve">Mid-range properties form </w:t>
      </w:r>
      <w:r w:rsidRPr="00DC3DC3">
        <w:rPr>
          <w:b/>
          <w:bCs/>
        </w:rPr>
        <w:t>0.05M listings</w:t>
      </w:r>
      <w:r w:rsidRPr="00DC3DC3">
        <w:t>, indicating balanced but smaller market representation.</w:t>
      </w:r>
    </w:p>
    <w:p w14:paraId="1B244024" w14:textId="77777777" w:rsidR="00DC3DC3" w:rsidRPr="00DC3DC3" w:rsidRDefault="00DC3DC3" w:rsidP="00DC3DC3">
      <w:pPr>
        <w:numPr>
          <w:ilvl w:val="0"/>
          <w:numId w:val="1"/>
        </w:numPr>
        <w:jc w:val="both"/>
      </w:pPr>
      <w:r w:rsidRPr="00DC3DC3">
        <w:t xml:space="preserve">Budget homes are limited to </w:t>
      </w:r>
      <w:r w:rsidRPr="00DC3DC3">
        <w:rPr>
          <w:b/>
          <w:bCs/>
        </w:rPr>
        <w:t>0.02M listings</w:t>
      </w:r>
      <w:r w:rsidRPr="00DC3DC3">
        <w:t>, showing low supply and potentially high competition for affordable housing.</w:t>
      </w:r>
    </w:p>
    <w:p w14:paraId="58BD6FEE" w14:textId="77777777" w:rsidR="00DC3DC3" w:rsidRPr="00DC3DC3" w:rsidRDefault="00DC3DC3" w:rsidP="00DC3DC3">
      <w:pPr>
        <w:numPr>
          <w:ilvl w:val="0"/>
          <w:numId w:val="1"/>
        </w:numPr>
        <w:jc w:val="both"/>
      </w:pPr>
      <w:r w:rsidRPr="00DC3DC3">
        <w:t>Property type distribution (Apartment, Independent House, Villa) provides diverse options, but apartments likely form the majority based on total listing volume.</w:t>
      </w:r>
    </w:p>
    <w:p w14:paraId="767BE8E8" w14:textId="77777777" w:rsidR="00DC3DC3" w:rsidRDefault="00DC3DC3" w:rsidP="00DC3DC3">
      <w:pPr>
        <w:numPr>
          <w:ilvl w:val="0"/>
          <w:numId w:val="1"/>
        </w:numPr>
        <w:jc w:val="both"/>
      </w:pPr>
      <w:r w:rsidRPr="00DC3DC3">
        <w:lastRenderedPageBreak/>
        <w:t xml:space="preserve">The dominance of high-value properties and limited good-investment options suggest a </w:t>
      </w:r>
      <w:r w:rsidRPr="00DC3DC3">
        <w:rPr>
          <w:b/>
          <w:bCs/>
        </w:rPr>
        <w:t>seller-driven market</w:t>
      </w:r>
      <w:r w:rsidRPr="00DC3DC3">
        <w:t xml:space="preserve"> with elevated pricing across many cities.</w:t>
      </w:r>
    </w:p>
    <w:p w14:paraId="7A5F04DC" w14:textId="77777777" w:rsidR="00D142C5" w:rsidRDefault="00D142C5" w:rsidP="00D142C5">
      <w:pPr>
        <w:jc w:val="both"/>
      </w:pPr>
    </w:p>
    <w:p w14:paraId="2223E74B" w14:textId="5661CD2D" w:rsidR="00D142C5" w:rsidRPr="00D142C5" w:rsidRDefault="00D142C5" w:rsidP="00D142C5">
      <w:pPr>
        <w:jc w:val="both"/>
        <w:rPr>
          <w:b/>
          <w:bCs/>
          <w:sz w:val="28"/>
          <w:szCs w:val="28"/>
        </w:rPr>
      </w:pPr>
      <w:r w:rsidRPr="00D142C5">
        <w:rPr>
          <w:b/>
          <w:bCs/>
          <w:sz w:val="28"/>
          <w:szCs w:val="28"/>
        </w:rPr>
        <w:t xml:space="preserve">B) </w:t>
      </w:r>
      <w:r w:rsidRPr="00D142C5">
        <w:rPr>
          <w:b/>
          <w:bCs/>
          <w:sz w:val="28"/>
          <w:szCs w:val="28"/>
        </w:rPr>
        <w:t xml:space="preserve"> Future Value &amp; </w:t>
      </w:r>
      <w:r w:rsidRPr="00D142C5">
        <w:rPr>
          <w:b/>
          <w:bCs/>
          <w:sz w:val="28"/>
          <w:szCs w:val="28"/>
        </w:rPr>
        <w:t>Investment Dashboard</w:t>
      </w:r>
    </w:p>
    <w:p w14:paraId="566CF220" w14:textId="77777777" w:rsidR="00D142C5" w:rsidRPr="00D142C5" w:rsidRDefault="00D142C5" w:rsidP="00D142C5">
      <w:pPr>
        <w:numPr>
          <w:ilvl w:val="0"/>
          <w:numId w:val="2"/>
        </w:numPr>
        <w:jc w:val="both"/>
      </w:pPr>
      <w:r w:rsidRPr="00D142C5">
        <w:t xml:space="preserve">The platform shows a </w:t>
      </w:r>
      <w:r w:rsidRPr="00D142C5">
        <w:rPr>
          <w:b/>
          <w:bCs/>
        </w:rPr>
        <w:t>Total Future Market Value of ₹93.52M</w:t>
      </w:r>
      <w:r w:rsidRPr="00D142C5">
        <w:t>, indicating a strong projected growth across the property portfolio.</w:t>
      </w:r>
    </w:p>
    <w:p w14:paraId="2C919336" w14:textId="77777777" w:rsidR="00D142C5" w:rsidRPr="00D142C5" w:rsidRDefault="00D142C5" w:rsidP="00D142C5">
      <w:pPr>
        <w:numPr>
          <w:ilvl w:val="0"/>
          <w:numId w:val="2"/>
        </w:numPr>
        <w:jc w:val="both"/>
      </w:pPr>
      <w:r w:rsidRPr="00D142C5">
        <w:t xml:space="preserve">A </w:t>
      </w:r>
      <w:r w:rsidRPr="00D142C5">
        <w:rPr>
          <w:b/>
          <w:bCs/>
        </w:rPr>
        <w:t>Median Future Price of 373 Lakhs</w:t>
      </w:r>
      <w:r w:rsidRPr="00D142C5">
        <w:t xml:space="preserve"> confirms that most properties are expected to enter the premium price segment in the next 5 years.</w:t>
      </w:r>
    </w:p>
    <w:p w14:paraId="67C9536F" w14:textId="77777777" w:rsidR="00D142C5" w:rsidRPr="00D142C5" w:rsidRDefault="00D142C5" w:rsidP="00D142C5">
      <w:pPr>
        <w:numPr>
          <w:ilvl w:val="0"/>
          <w:numId w:val="2"/>
        </w:numPr>
        <w:jc w:val="both"/>
      </w:pPr>
      <w:r w:rsidRPr="00D142C5">
        <w:t xml:space="preserve">A </w:t>
      </w:r>
      <w:r w:rsidRPr="00D142C5">
        <w:rPr>
          <w:b/>
          <w:bCs/>
        </w:rPr>
        <w:t>Median Appreciation of 0.47 (47%)</w:t>
      </w:r>
      <w:r w:rsidRPr="00D142C5">
        <w:t xml:space="preserve"> shows steady long-term value growth across top locations.</w:t>
      </w:r>
    </w:p>
    <w:p w14:paraId="3192BAD7" w14:textId="77777777" w:rsidR="00D142C5" w:rsidRPr="00D142C5" w:rsidRDefault="00D142C5" w:rsidP="00D142C5">
      <w:pPr>
        <w:numPr>
          <w:ilvl w:val="0"/>
          <w:numId w:val="2"/>
        </w:numPr>
        <w:jc w:val="both"/>
      </w:pPr>
      <w:r w:rsidRPr="00D142C5">
        <w:t xml:space="preserve">Total appreciation expected across all properties is </w:t>
      </w:r>
      <w:r w:rsidRPr="00D142C5">
        <w:rPr>
          <w:b/>
          <w:bCs/>
        </w:rPr>
        <w:t>₹29.87M</w:t>
      </w:r>
      <w:r w:rsidRPr="00D142C5">
        <w:t xml:space="preserve">, </w:t>
      </w:r>
      <w:proofErr w:type="spellStart"/>
      <w:r w:rsidRPr="00D142C5">
        <w:t>signaling</w:t>
      </w:r>
      <w:proofErr w:type="spellEnd"/>
      <w:r w:rsidRPr="00D142C5">
        <w:t xml:space="preserve"> high wealth-generation potential for long-term investors.</w:t>
      </w:r>
    </w:p>
    <w:p w14:paraId="6516AB10" w14:textId="77777777" w:rsidR="00D142C5" w:rsidRPr="00D142C5" w:rsidRDefault="00D142C5" w:rsidP="00D142C5">
      <w:pPr>
        <w:numPr>
          <w:ilvl w:val="0"/>
          <w:numId w:val="2"/>
        </w:numPr>
        <w:jc w:val="both"/>
      </w:pPr>
      <w:r w:rsidRPr="00D142C5">
        <w:t xml:space="preserve">The </w:t>
      </w:r>
      <w:r w:rsidRPr="00D142C5">
        <w:rPr>
          <w:b/>
          <w:bCs/>
        </w:rPr>
        <w:t xml:space="preserve">Median Price per </w:t>
      </w:r>
      <w:proofErr w:type="spellStart"/>
      <w:r w:rsidRPr="00D142C5">
        <w:rPr>
          <w:b/>
          <w:bCs/>
        </w:rPr>
        <w:t>SqFt</w:t>
      </w:r>
      <w:proofErr w:type="spellEnd"/>
      <w:r w:rsidRPr="00D142C5">
        <w:rPr>
          <w:b/>
          <w:bCs/>
        </w:rPr>
        <w:t xml:space="preserve"> of ₹9.2K</w:t>
      </w:r>
      <w:r w:rsidRPr="00D142C5">
        <w:t xml:space="preserve"> indicates continued demand for high-value urban properties.</w:t>
      </w:r>
    </w:p>
    <w:p w14:paraId="31AD604D" w14:textId="77777777" w:rsidR="00D142C5" w:rsidRPr="00D142C5" w:rsidRDefault="00D142C5" w:rsidP="00D142C5">
      <w:pPr>
        <w:numPr>
          <w:ilvl w:val="0"/>
          <w:numId w:val="2"/>
        </w:numPr>
        <w:jc w:val="both"/>
      </w:pPr>
      <w:r w:rsidRPr="00D142C5">
        <w:t xml:space="preserve">5-Year future price distribution peaks around the </w:t>
      </w:r>
      <w:r w:rsidRPr="00D142C5">
        <w:rPr>
          <w:b/>
          <w:bCs/>
        </w:rPr>
        <w:t>700–800 Lakhs band (up to 993 listings)</w:t>
      </w:r>
      <w:r w:rsidRPr="00D142C5">
        <w:t>, showing strong investor preference for upper-mid and premium segments.</w:t>
      </w:r>
    </w:p>
    <w:p w14:paraId="63543B7E" w14:textId="77777777" w:rsidR="00D142C5" w:rsidRPr="00D142C5" w:rsidRDefault="00D142C5" w:rsidP="00D142C5">
      <w:pPr>
        <w:numPr>
          <w:ilvl w:val="0"/>
          <w:numId w:val="2"/>
        </w:numPr>
        <w:jc w:val="both"/>
      </w:pPr>
      <w:r w:rsidRPr="00D142C5">
        <w:t xml:space="preserve">BHK-wise comparison shows consistent future pricing, with </w:t>
      </w:r>
      <w:r w:rsidRPr="00D142C5">
        <w:rPr>
          <w:b/>
          <w:bCs/>
        </w:rPr>
        <w:t>all BHK types averaging between 374–379 Lakhs</w:t>
      </w:r>
      <w:r w:rsidRPr="00D142C5">
        <w:t>, indicating uniform demand across configurations.</w:t>
      </w:r>
    </w:p>
    <w:p w14:paraId="317B4297" w14:textId="77777777" w:rsidR="00D142C5" w:rsidRPr="00D142C5" w:rsidRDefault="00D142C5" w:rsidP="00D142C5">
      <w:pPr>
        <w:numPr>
          <w:ilvl w:val="0"/>
          <w:numId w:val="2"/>
        </w:numPr>
        <w:jc w:val="both"/>
      </w:pPr>
      <w:r w:rsidRPr="00D142C5">
        <w:t xml:space="preserve">Karnataka and Tamil Nadu lead in present-day pricing with </w:t>
      </w:r>
      <w:r w:rsidRPr="00D142C5">
        <w:rPr>
          <w:b/>
          <w:bCs/>
        </w:rPr>
        <w:t>average property prices of 257 Lakhs</w:t>
      </w:r>
      <w:r w:rsidRPr="00D142C5">
        <w:t>, showing strong high-value residential markets.</w:t>
      </w:r>
    </w:p>
    <w:p w14:paraId="60B67152" w14:textId="77777777" w:rsidR="00D142C5" w:rsidRPr="00D142C5" w:rsidRDefault="00D142C5" w:rsidP="00D142C5">
      <w:pPr>
        <w:numPr>
          <w:ilvl w:val="0"/>
          <w:numId w:val="2"/>
        </w:numPr>
        <w:jc w:val="both"/>
      </w:pPr>
      <w:r w:rsidRPr="00D142C5">
        <w:t xml:space="preserve">Odisha exhibits the </w:t>
      </w:r>
      <w:r w:rsidRPr="00D142C5">
        <w:rPr>
          <w:b/>
          <w:bCs/>
        </w:rPr>
        <w:t>highest appreciation rate (5952 units)</w:t>
      </w:r>
      <w:r w:rsidRPr="00D142C5">
        <w:t xml:space="preserve">, followed by Tamil Nadu (5927) and West Bengal (5924), making them the </w:t>
      </w:r>
      <w:r w:rsidRPr="00D142C5">
        <w:rPr>
          <w:b/>
          <w:bCs/>
        </w:rPr>
        <w:t>top 3 high-growth states</w:t>
      </w:r>
      <w:r w:rsidRPr="00D142C5">
        <w:t>.</w:t>
      </w:r>
    </w:p>
    <w:p w14:paraId="52264828" w14:textId="77777777" w:rsidR="00D142C5" w:rsidRPr="00D142C5" w:rsidRDefault="00D142C5" w:rsidP="00D142C5">
      <w:pPr>
        <w:numPr>
          <w:ilvl w:val="0"/>
          <w:numId w:val="2"/>
        </w:numPr>
        <w:jc w:val="both"/>
      </w:pPr>
      <w:r w:rsidRPr="00D142C5">
        <w:t xml:space="preserve">Investment opportunities table highlights the strongest deals—top listings show </w:t>
      </w:r>
      <w:r w:rsidRPr="00D142C5">
        <w:rPr>
          <w:b/>
          <w:bCs/>
        </w:rPr>
        <w:t>5-year appreciation values between ₹450–600 Lakhs</w:t>
      </w:r>
      <w:r w:rsidRPr="00D142C5">
        <w:t xml:space="preserve">, delivering </w:t>
      </w:r>
      <w:r w:rsidRPr="00D142C5">
        <w:rPr>
          <w:b/>
          <w:bCs/>
        </w:rPr>
        <w:t>38%–51% appreciation</w:t>
      </w:r>
      <w:r w:rsidRPr="00D142C5">
        <w:t xml:space="preserve"> across states like Andhra Pradesh, Assam, Bihar, and Chhattisgarh.</w:t>
      </w:r>
    </w:p>
    <w:p w14:paraId="21AAF98E" w14:textId="77777777" w:rsidR="00D142C5" w:rsidRPr="00D142C5" w:rsidRDefault="00D142C5" w:rsidP="00D142C5">
      <w:pPr>
        <w:numPr>
          <w:ilvl w:val="0"/>
          <w:numId w:val="2"/>
        </w:numPr>
        <w:jc w:val="both"/>
      </w:pPr>
      <w:r w:rsidRPr="00D142C5">
        <w:t xml:space="preserve">Current vs future price comparison reveals significant upside, with properties in higher </w:t>
      </w:r>
      <w:proofErr w:type="spellStart"/>
      <w:r w:rsidRPr="00D142C5">
        <w:rPr>
          <w:b/>
          <w:bCs/>
        </w:rPr>
        <w:t>Price_per_SqFt</w:t>
      </w:r>
      <w:proofErr w:type="spellEnd"/>
      <w:r w:rsidRPr="00D142C5">
        <w:rPr>
          <w:b/>
          <w:bCs/>
        </w:rPr>
        <w:t xml:space="preserve"> segments (0.70–0.90)</w:t>
      </w:r>
      <w:r w:rsidRPr="00D142C5">
        <w:t xml:space="preserve"> showing maximum expected future price uplift (₹30M–₹40M).</w:t>
      </w:r>
    </w:p>
    <w:p w14:paraId="373479F4" w14:textId="77777777" w:rsidR="00D142C5" w:rsidRPr="00D142C5" w:rsidRDefault="00D142C5" w:rsidP="00D142C5">
      <w:pPr>
        <w:numPr>
          <w:ilvl w:val="0"/>
          <w:numId w:val="2"/>
        </w:numPr>
        <w:jc w:val="both"/>
      </w:pPr>
      <w:r w:rsidRPr="00D142C5">
        <w:t>Lower-priced properties (</w:t>
      </w:r>
      <w:proofErr w:type="spellStart"/>
      <w:r w:rsidRPr="00D142C5">
        <w:t>Price_per_SqFt</w:t>
      </w:r>
      <w:proofErr w:type="spellEnd"/>
      <w:r w:rsidRPr="00D142C5">
        <w:t xml:space="preserve"> below 0.30) show limited future value (₹10M), indicating lower ROI potential for budget buyers.</w:t>
      </w:r>
    </w:p>
    <w:p w14:paraId="73375669" w14:textId="77777777" w:rsidR="00D142C5" w:rsidRPr="00D142C5" w:rsidRDefault="00D142C5" w:rsidP="00D142C5">
      <w:pPr>
        <w:numPr>
          <w:ilvl w:val="0"/>
          <w:numId w:val="2"/>
        </w:numPr>
        <w:jc w:val="both"/>
      </w:pPr>
      <w:r w:rsidRPr="00D142C5">
        <w:t>Mid-range properties (</w:t>
      </w:r>
      <w:proofErr w:type="spellStart"/>
      <w:r w:rsidRPr="00D142C5">
        <w:t>Price_per_SqFt</w:t>
      </w:r>
      <w:proofErr w:type="spellEnd"/>
      <w:r w:rsidRPr="00D142C5">
        <w:t xml:space="preserve"> 0.40–0.60) show strong future valuation between </w:t>
      </w:r>
      <w:r w:rsidRPr="00D142C5">
        <w:rPr>
          <w:b/>
          <w:bCs/>
        </w:rPr>
        <w:t>₹15M–₹25M</w:t>
      </w:r>
      <w:r w:rsidRPr="00D142C5">
        <w:t>, making them ideal for balanced-risk investors.</w:t>
      </w:r>
    </w:p>
    <w:p w14:paraId="2CFAF301" w14:textId="77777777" w:rsidR="00D142C5" w:rsidRPr="00D142C5" w:rsidRDefault="00D142C5" w:rsidP="00D142C5">
      <w:pPr>
        <w:numPr>
          <w:ilvl w:val="0"/>
          <w:numId w:val="2"/>
        </w:numPr>
        <w:jc w:val="both"/>
      </w:pPr>
      <w:r w:rsidRPr="00D142C5">
        <w:t xml:space="preserve">Future price distribution highlights </w:t>
      </w:r>
      <w:r w:rsidRPr="00D142C5">
        <w:rPr>
          <w:b/>
          <w:bCs/>
        </w:rPr>
        <w:t>broad investment diversity</w:t>
      </w:r>
      <w:r w:rsidRPr="00D142C5">
        <w:t xml:space="preserve">, with more than </w:t>
      </w:r>
      <w:r w:rsidRPr="00D142C5">
        <w:rPr>
          <w:b/>
          <w:bCs/>
        </w:rPr>
        <w:t>800+ future high-value properties</w:t>
      </w:r>
      <w:r w:rsidRPr="00D142C5">
        <w:t xml:space="preserve"> clustered in multiple bands.</w:t>
      </w:r>
    </w:p>
    <w:p w14:paraId="04792C6D" w14:textId="77777777" w:rsidR="00D142C5" w:rsidRPr="00DC3DC3" w:rsidRDefault="00D142C5" w:rsidP="00D142C5">
      <w:pPr>
        <w:jc w:val="both"/>
      </w:pPr>
    </w:p>
    <w:p w14:paraId="30DFE626" w14:textId="77777777" w:rsidR="00A2635D" w:rsidRDefault="00A2635D"/>
    <w:sectPr w:rsidR="00A263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9E29AA"/>
    <w:multiLevelType w:val="multilevel"/>
    <w:tmpl w:val="1F544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8B2FBF"/>
    <w:multiLevelType w:val="multilevel"/>
    <w:tmpl w:val="FD429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7346250">
    <w:abstractNumId w:val="0"/>
  </w:num>
  <w:num w:numId="2" w16cid:durableId="2463118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DC3"/>
    <w:rsid w:val="007A71FC"/>
    <w:rsid w:val="00A2635D"/>
    <w:rsid w:val="00D142C5"/>
    <w:rsid w:val="00DC3DC3"/>
    <w:rsid w:val="00F46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0AA63"/>
  <w15:chartTrackingRefBased/>
  <w15:docId w15:val="{FBFBE019-BE51-444D-990C-ADAAE2927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3D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3D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3D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3D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3D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3D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3D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3D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3D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3D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3D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3D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3D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3D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3D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3D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3D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3D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3D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3D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3D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3D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3D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3D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3D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3D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3D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3D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3D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645</Words>
  <Characters>3681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Thaware</dc:creator>
  <cp:keywords/>
  <dc:description/>
  <cp:lastModifiedBy>Shreya Thaware</cp:lastModifiedBy>
  <cp:revision>1</cp:revision>
  <dcterms:created xsi:type="dcterms:W3CDTF">2025-12-12T12:36:00Z</dcterms:created>
  <dcterms:modified xsi:type="dcterms:W3CDTF">2025-12-12T12:51:00Z</dcterms:modified>
</cp:coreProperties>
</file>