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F497D"/>
          <w:sz w:val="44"/>
        </w:rPr>
        <w:t>FVB33 Backtest Tab</w:t>
      </w:r>
    </w:p>
    <w:p>
      <w:pPr>
        <w:spacing w:after="80"/>
        <w:jc w:val="center"/>
      </w:pPr>
      <w:r>
        <w:rPr>
          <w:rFonts w:ascii="Calibri" w:hAnsi="Calibri"/>
          <w:b/>
          <w:color w:val="1F497D"/>
          <w:sz w:val="32"/>
        </w:rPr>
        <w:t>UI Reference Guide</w:t>
      </w:r>
    </w:p>
    <w:p>
      <w:pPr>
        <w:spacing w:after="80"/>
        <w:jc w:val="center"/>
      </w:pPr>
      <w:r>
        <w:rPr>
          <w:rFonts w:ascii="Calibri" w:hAnsi="Calibri"/>
          <w:i/>
          <w:color w:val="444444"/>
          <w:sz w:val="22"/>
        </w:rPr>
        <w:t>Signal Logic, Column Definitions &amp; Calculations</w:t>
      </w:r>
    </w:p>
    <w:p>
      <w:pPr>
        <w:spacing w:after="480"/>
        <w:jc w:val="center"/>
      </w:pPr>
      <w:r>
        <w:rPr>
          <w:rFonts w:ascii="Calibri" w:hAnsi="Calibri"/>
          <w:i/>
          <w:color w:val="777777"/>
          <w:sz w:val="20"/>
        </w:rPr>
        <w:t>April 2026</w:t>
      </w:r>
    </w:p>
    <w:p>
      <w:pPr>
        <w:spacing w:before="320" w:after="100"/>
        <w:pBdr>
          <w:bottom w:val="single" w:sz="6" w:space="1" w:color="1F497D"/>
        </w:pBdr>
      </w:pPr>
      <w:r>
        <w:rPr>
          <w:rFonts w:ascii="Calibri" w:hAnsi="Calibri"/>
          <w:b/>
          <w:color w:val="1F497D"/>
          <w:sz w:val="30"/>
        </w:rPr>
        <w:t>1.  Signal Columns — entry_signal vs sig_entry</w:t>
      </w:r>
    </w:p>
    <w:p>
      <w:pPr>
        <w:spacing w:before="40" w:after="100"/>
      </w:pPr>
      <w:r>
        <w:rPr>
          <w:rFonts w:ascii="Calibri" w:hAnsi="Calibri"/>
          <w:i w:val="0"/>
          <w:color w:val="222222"/>
          <w:sz w:val="20"/>
        </w:rPr>
        <w:t>There are two different signal columns in the data pipeline. Understanding which one the Backtest tab uses is critical to interpreting results correctly.</w:t>
      </w:r>
    </w:p>
    <w:p>
      <w:pPr>
        <w:spacing w:before="120" w:after="60"/>
      </w:pPr>
      <w:r>
        <w:rPr>
          <w:rFonts w:ascii="Calibri" w:hAnsi="Calibri"/>
          <w:b/>
          <w:i/>
          <w:color w:val="444444"/>
          <w:sz w:val="18"/>
        </w:rPr>
        <w:t>Signal Column Comparison</w:t>
      </w:r>
    </w:p>
    <w:tbl>
      <w:tblPr>
        <w:tblStyle w:val="TableGrid"/>
        <w:tblW w:type="auto" w:w="0"/>
        <w:jc w:val="left"/>
        <w:tblLook w:firstColumn="1" w:firstRow="1" w:lastColumn="0" w:lastRow="0" w:noHBand="0" w:noVBand="1" w:val="04A0"/>
      </w:tblPr>
      <w:tblGrid>
        <w:gridCol w:w="1814"/>
        <w:gridCol w:w="1247"/>
        <w:gridCol w:w="3968"/>
        <w:gridCol w:w="1870"/>
        <w:gridCol w:w="2154"/>
      </w:tblGrid>
      <w:tr>
        <w:tc>
          <w:tcPr>
            <w:shd w:val="clear" w:color="auto" w:fill="1F497D"/>
            <w:tcBorders>
              <w:top w:val="single" w:sz="4" w:space="0" w:color="1F497D"/>
              <w:left w:val="single" w:sz="4" w:space="0" w:color="1F497D"/>
              <w:bottom w:val="single" w:sz="4" w:space="0" w:color="1F497D"/>
              <w:right w:val="single" w:sz="4" w:space="0" w:color="1F497D"/>
            </w:tcBorders>
            <w:tcW w:w="1814" w:type="dxa"/>
          </w:tcPr>
          <w:p>
            <w:pPr>
              <w:spacing w:before="40" w:after="40"/>
              <w:jc w:val="center"/>
            </w:pPr>
            <w:r/>
            <w:r>
              <w:rPr>
                <w:rFonts w:ascii="Calibri" w:hAnsi="Calibri"/>
                <w:b/>
                <w:i w:val="0"/>
                <w:color w:val="FFFFFF"/>
                <w:sz w:val="18"/>
              </w:rPr>
              <w:t>Column</w:t>
            </w:r>
          </w:p>
        </w:tc>
        <w:tc>
          <w:tcPr>
            <w:shd w:val="clear" w:color="auto" w:fill="1F497D"/>
            <w:tcBorders>
              <w:top w:val="single" w:sz="4" w:space="0" w:color="1F497D"/>
              <w:left w:val="single" w:sz="4" w:space="0" w:color="1F497D"/>
              <w:bottom w:val="single" w:sz="4" w:space="0" w:color="1F497D"/>
              <w:right w:val="single" w:sz="4" w:space="0" w:color="1F497D"/>
            </w:tcBorders>
            <w:tcW w:w="1247" w:type="dxa"/>
          </w:tcPr>
          <w:p>
            <w:pPr>
              <w:spacing w:before="40" w:after="40"/>
              <w:jc w:val="center"/>
            </w:pPr>
            <w:r/>
            <w:r>
              <w:rPr>
                <w:rFonts w:ascii="Calibri" w:hAnsi="Calibri"/>
                <w:b/>
                <w:i w:val="0"/>
                <w:color w:val="FFFFFF"/>
                <w:sz w:val="18"/>
              </w:rPr>
              <w:t>Table</w:t>
            </w:r>
          </w:p>
        </w:tc>
        <w:tc>
          <w:tcPr>
            <w:shd w:val="clear" w:color="auto" w:fill="1F497D"/>
            <w:tcBorders>
              <w:top w:val="single" w:sz="4" w:space="0" w:color="1F497D"/>
              <w:left w:val="single" w:sz="4" w:space="0" w:color="1F497D"/>
              <w:bottom w:val="single" w:sz="4" w:space="0" w:color="1F497D"/>
              <w:right w:val="single" w:sz="4" w:space="0" w:color="1F497D"/>
            </w:tcBorders>
            <w:tcW w:w="3968" w:type="dxa"/>
          </w:tcPr>
          <w:p>
            <w:pPr>
              <w:spacing w:before="40" w:after="40"/>
              <w:jc w:val="center"/>
            </w:pPr>
            <w:r/>
            <w:r>
              <w:rPr>
                <w:rFonts w:ascii="Calibri" w:hAnsi="Calibri"/>
                <w:b/>
                <w:i w:val="0"/>
                <w:color w:val="FFFFFF"/>
                <w:sz w:val="18"/>
              </w:rPr>
              <w:t>BX Condition</w:t>
            </w:r>
          </w:p>
        </w:tc>
        <w:tc>
          <w:tcPr>
            <w:shd w:val="clear" w:color="auto" w:fill="1F497D"/>
            <w:tcBorders>
              <w:top w:val="single" w:sz="4" w:space="0" w:color="1F497D"/>
              <w:left w:val="single" w:sz="4" w:space="0" w:color="1F497D"/>
              <w:bottom w:val="single" w:sz="4" w:space="0" w:color="1F497D"/>
              <w:right w:val="single" w:sz="4" w:space="0" w:color="1F497D"/>
            </w:tcBorders>
            <w:tcW w:w="1870" w:type="dxa"/>
          </w:tcPr>
          <w:p>
            <w:pPr>
              <w:spacing w:before="40" w:after="40"/>
              <w:jc w:val="center"/>
            </w:pPr>
            <w:r/>
            <w:r>
              <w:rPr>
                <w:rFonts w:ascii="Calibri" w:hAnsi="Calibri"/>
                <w:b/>
                <w:i w:val="0"/>
                <w:color w:val="FFFFFF"/>
                <w:sz w:val="18"/>
              </w:rPr>
              <w:t>Price Buffer</w:t>
            </w:r>
          </w:p>
        </w:tc>
        <w:tc>
          <w:tcPr>
            <w:shd w:val="clear" w:color="auto" w:fill="1F497D"/>
            <w:tcBorders>
              <w:top w:val="single" w:sz="4" w:space="0" w:color="1F497D"/>
              <w:left w:val="single" w:sz="4" w:space="0" w:color="1F497D"/>
              <w:bottom w:val="single" w:sz="4" w:space="0" w:color="1F497D"/>
              <w:right w:val="single" w:sz="4" w:space="0" w:color="1F497D"/>
            </w:tcBorders>
            <w:tcW w:w="2154" w:type="dxa"/>
          </w:tcPr>
          <w:p>
            <w:pPr>
              <w:spacing w:before="40" w:after="40"/>
              <w:jc w:val="center"/>
            </w:pPr>
            <w:r/>
            <w:r>
              <w:rPr>
                <w:rFonts w:ascii="Calibri" w:hAnsi="Calibri"/>
                <w:b/>
                <w:i w:val="0"/>
                <w:color w:val="FFFFFF"/>
                <w:sz w:val="18"/>
              </w:rPr>
              <w:t>State Machine</w:t>
            </w:r>
          </w:p>
        </w:tc>
      </w:tr>
      <w:tr>
        <w:tc>
          <w:tcPr>
            <w:shd w:val="clear" w:color="auto" w:fill="D6E4F0"/>
            <w:tcBorders>
              <w:top w:val="single" w:sz="4" w:space="0" w:color="BBBBBB"/>
              <w:left w:val="single" w:sz="4" w:space="0" w:color="BBBBBB"/>
              <w:bottom w:val="single" w:sz="4" w:space="0" w:color="BBBBBB"/>
              <w:right w:val="single" w:sz="4" w:space="0" w:color="BBBBBB"/>
            </w:tcBorders>
            <w:tcW w:w="1814" w:type="dxa"/>
          </w:tcPr>
          <w:p>
            <w:pPr>
              <w:spacing w:before="40" w:after="40"/>
              <w:jc w:val="left"/>
            </w:pPr>
            <w:r/>
            <w:r>
              <w:rPr>
                <w:rFonts w:ascii="Courier New" w:hAnsi="Courier New"/>
                <w:b/>
                <w:i w:val="0"/>
                <w:color w:val="1A1A2E"/>
                <w:sz w:val="18"/>
              </w:rPr>
              <w:t>entry_signal</w:t>
            </w:r>
          </w:p>
        </w:tc>
        <w:tc>
          <w:tcPr>
            <w:shd w:val="clear" w:color="auto" w:fill="D6E4F0"/>
            <w:tcBorders>
              <w:top w:val="single" w:sz="4" w:space="0" w:color="BBBBBB"/>
              <w:left w:val="single" w:sz="4" w:space="0" w:color="BBBBBB"/>
              <w:bottom w:val="single" w:sz="4" w:space="0" w:color="BBBBBB"/>
              <w:right w:val="single" w:sz="4" w:space="0" w:color="BBBBBB"/>
            </w:tcBorders>
            <w:tcW w:w="1247" w:type="dxa"/>
          </w:tcPr>
          <w:p>
            <w:pPr>
              <w:spacing w:before="40" w:after="40"/>
              <w:jc w:val="left"/>
            </w:pPr>
            <w:r/>
            <w:r>
              <w:rPr>
                <w:rFonts w:ascii="Calibri" w:hAnsi="Calibri"/>
                <w:b w:val="0"/>
                <w:i w:val="0"/>
                <w:color w:val="000000"/>
                <w:sz w:val="18"/>
              </w:rPr>
              <w:t>Daily + Weekly</w:t>
            </w:r>
          </w:p>
        </w:tc>
        <w:tc>
          <w:tcPr>
            <w:shd w:val="clear" w:color="auto" w:fill="D6E4F0"/>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bx_monthly_dark_red==0 (same as sig_entry v1.3)</w:t>
            </w:r>
          </w:p>
        </w:tc>
        <w:tc>
          <w:tcPr>
            <w:shd w:val="clear" w:color="auto" w:fill="D6E4F0"/>
            <w:tcBorders>
              <w:top w:val="single" w:sz="4" w:space="0" w:color="BBBBBB"/>
              <w:left w:val="single" w:sz="4" w:space="0" w:color="BBBBBB"/>
              <w:bottom w:val="single" w:sz="4" w:space="0" w:color="BBBBBB"/>
              <w:right w:val="single" w:sz="4" w:space="0" w:color="BBBBBB"/>
            </w:tcBorders>
            <w:tcW w:w="1870" w:type="dxa"/>
          </w:tcPr>
          <w:p>
            <w:pPr>
              <w:spacing w:before="40" w:after="40"/>
              <w:jc w:val="left"/>
            </w:pPr>
            <w:r/>
            <w:r>
              <w:rPr>
                <w:rFonts w:ascii="Calibri" w:hAnsi="Calibri"/>
                <w:b w:val="0"/>
                <w:i w:val="0"/>
                <w:color w:val="000000"/>
                <w:sz w:val="18"/>
              </w:rPr>
              <w:t>None — Close must be AT or below upper band</w:t>
            </w:r>
          </w:p>
        </w:tc>
        <w:tc>
          <w:tcPr>
            <w:shd w:val="clear" w:color="auto" w:fill="D6E4F0"/>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alibri" w:hAnsi="Calibri"/>
                <w:b w:val="0"/>
                <w:i w:val="0"/>
                <w:color w:val="000000"/>
                <w:sz w:val="18"/>
              </w:rPr>
              <w:t>No — simple row-by-row calculation</w:t>
            </w:r>
          </w:p>
        </w:tc>
      </w:tr>
      <w:tr>
        <w:tc>
          <w:tcPr>
            <w:shd w:val="clear" w:color="auto" w:fill="FFFFFF"/>
            <w:tcBorders>
              <w:top w:val="single" w:sz="4" w:space="0" w:color="BBBBBB"/>
              <w:left w:val="single" w:sz="4" w:space="0" w:color="BBBBBB"/>
              <w:bottom w:val="single" w:sz="4" w:space="0" w:color="BBBBBB"/>
              <w:right w:val="single" w:sz="4" w:space="0" w:color="BBBBBB"/>
            </w:tcBorders>
            <w:tcW w:w="1814" w:type="dxa"/>
          </w:tcPr>
          <w:p>
            <w:pPr>
              <w:spacing w:before="40" w:after="40"/>
              <w:jc w:val="left"/>
            </w:pPr>
            <w:r/>
            <w:r>
              <w:rPr>
                <w:rFonts w:ascii="Courier New" w:hAnsi="Courier New"/>
                <w:b/>
                <w:i w:val="0"/>
                <w:color w:val="1A1A2E"/>
                <w:sz w:val="18"/>
              </w:rPr>
              <w:t>sig_entry (v1.3)</w:t>
            </w:r>
          </w:p>
        </w:tc>
        <w:tc>
          <w:tcPr>
            <w:shd w:val="clear" w:color="auto" w:fill="FFFFFF"/>
            <w:tcBorders>
              <w:top w:val="single" w:sz="4" w:space="0" w:color="BBBBBB"/>
              <w:left w:val="single" w:sz="4" w:space="0" w:color="BBBBBB"/>
              <w:bottom w:val="single" w:sz="4" w:space="0" w:color="BBBBBB"/>
              <w:right w:val="single" w:sz="4" w:space="0" w:color="BBBBBB"/>
            </w:tcBorders>
            <w:tcW w:w="1247" w:type="dxa"/>
          </w:tcPr>
          <w:p>
            <w:pPr>
              <w:spacing w:before="40" w:after="40"/>
              <w:jc w:val="left"/>
            </w:pPr>
            <w:r/>
            <w:r>
              <w:rPr>
                <w:rFonts w:ascii="Calibri" w:hAnsi="Calibri"/>
                <w:b w:val="0"/>
                <w:i w:val="0"/>
                <w:color w:val="000000"/>
                <w:sz w:val="18"/>
              </w:rPr>
              <w:t>Weekly only</w:t>
            </w:r>
          </w:p>
        </w:tc>
        <w:tc>
          <w:tcPr>
            <w:shd w:val="clear" w:color="auto" w:fill="FFFFFF"/>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bx_monthly_dark_red==0  (0=green or recovering; 1=dark red=no entry)</w:t>
            </w:r>
          </w:p>
        </w:tc>
        <w:tc>
          <w:tcPr>
            <w:shd w:val="clear" w:color="auto" w:fill="FFFFFF"/>
            <w:tcBorders>
              <w:top w:val="single" w:sz="4" w:space="0" w:color="BBBBBB"/>
              <w:left w:val="single" w:sz="4" w:space="0" w:color="BBBBBB"/>
              <w:bottom w:val="single" w:sz="4" w:space="0" w:color="BBBBBB"/>
              <w:right w:val="single" w:sz="4" w:space="0" w:color="BBBBBB"/>
            </w:tcBorders>
            <w:tcW w:w="1870" w:type="dxa"/>
          </w:tcPr>
          <w:p>
            <w:pPr>
              <w:spacing w:before="40" w:after="40"/>
              <w:jc w:val="left"/>
            </w:pPr>
            <w:r/>
            <w:r>
              <w:rPr>
                <w:rFonts w:ascii="Calibri" w:hAnsi="Calibri"/>
                <w:b w:val="0"/>
                <w:i w:val="0"/>
                <w:color w:val="000000"/>
                <w:sz w:val="18"/>
              </w:rPr>
              <w:t>+3% upper / -25% lower buffer</w:t>
            </w:r>
          </w:p>
        </w:tc>
        <w:tc>
          <w:tcPr>
            <w:shd w:val="clear" w:color="auto" w:fill="FFFFFF"/>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alibri" w:hAnsi="Calibri"/>
                <w:b w:val="0"/>
                <w:i w:val="0"/>
                <w:color w:val="000000"/>
                <w:sz w:val="18"/>
              </w:rPr>
              <w:t>Yes — only fires from FLAT_SL state</w:t>
            </w:r>
          </w:p>
        </w:tc>
      </w:tr>
    </w:tbl>
    <w:p/>
    <w:p>
      <w:pPr>
        <w:spacing w:before="80" w:after="160"/>
        <w:ind w:left="288" w:right="288"/>
        <w:shd w:val="clear" w:color="auto" w:fill="FFF9C4"/>
      </w:pPr>
      <w:r>
        <w:rPr>
          <w:rFonts w:ascii="Calibri" w:hAnsi="Calibri"/>
          <w:i/>
          <w:color w:val="333300"/>
          <w:sz w:val="19"/>
        </w:rPr>
        <w:t>NOTE: The Backtest tab uses sig_entry (not entry_signal). Both now use bx_monthly_dark_red==0 as the BX gate (v1.3). dark_red==0 means the last COMPLETED monthly candle is either positive (green) OR negative but recovering vs the prior month. Entry is blocked ONLY when dark_red==1 (last closed month is negative AND still falling). Key remaining difference: sig_entry has a +3%/-25% price buffer and uses a state machine.</w:t>
      </w:r>
    </w:p>
    <w:p>
      <w:pPr>
        <w:spacing w:before="120" w:after="60"/>
      </w:pPr>
      <w:r>
        <w:rPr>
          <w:rFonts w:ascii="Calibri" w:hAnsi="Calibri"/>
          <w:b/>
          <w:i/>
          <w:color w:val="444444"/>
          <w:sz w:val="18"/>
        </w:rPr>
        <w:t>Signal version history — entry condition evolution:</w:t>
      </w:r>
    </w:p>
    <w:tbl>
      <w:tblPr>
        <w:tblStyle w:val="TableGrid"/>
        <w:tblW w:type="auto" w:w="0"/>
        <w:jc w:val="left"/>
        <w:tblLook w:firstColumn="1" w:firstRow="1" w:lastColumn="0" w:lastRow="0" w:noHBand="0" w:noVBand="1" w:val="04A0"/>
      </w:tblPr>
      <w:tblGrid>
        <w:gridCol w:w="1133"/>
        <w:gridCol w:w="4251"/>
        <w:gridCol w:w="5669"/>
      </w:tblGrid>
      <w:tr>
        <w:tc>
          <w:tcPr>
            <w:shd w:val="clear" w:color="auto" w:fill="1F497D"/>
            <w:tcBorders>
              <w:top w:val="single" w:sz="4" w:space="0" w:color="1F497D"/>
              <w:left w:val="single" w:sz="4" w:space="0" w:color="1F497D"/>
              <w:bottom w:val="single" w:sz="4" w:space="0" w:color="1F497D"/>
              <w:right w:val="single" w:sz="4" w:space="0" w:color="1F497D"/>
            </w:tcBorders>
            <w:tcW w:w="1133" w:type="dxa"/>
          </w:tcPr>
          <w:p>
            <w:pPr>
              <w:spacing w:before="40" w:after="40"/>
              <w:jc w:val="center"/>
            </w:pPr>
            <w:r/>
            <w:r>
              <w:rPr>
                <w:rFonts w:ascii="Calibri" w:hAnsi="Calibri"/>
                <w:b/>
                <w:i w:val="0"/>
                <w:color w:val="FFFFFF"/>
                <w:sz w:val="18"/>
              </w:rPr>
              <w:t>Version</w:t>
            </w:r>
          </w:p>
        </w:tc>
        <w:tc>
          <w:tcPr>
            <w:shd w:val="clear" w:color="auto" w:fill="1F497D"/>
            <w:tcBorders>
              <w:top w:val="single" w:sz="4" w:space="0" w:color="1F497D"/>
              <w:left w:val="single" w:sz="4" w:space="0" w:color="1F497D"/>
              <w:bottom w:val="single" w:sz="4" w:space="0" w:color="1F497D"/>
              <w:right w:val="single" w:sz="4" w:space="0" w:color="1F497D"/>
            </w:tcBorders>
            <w:tcW w:w="4251" w:type="dxa"/>
          </w:tcPr>
          <w:p>
            <w:pPr>
              <w:spacing w:before="40" w:after="40"/>
              <w:jc w:val="center"/>
            </w:pPr>
            <w:r/>
            <w:r>
              <w:rPr>
                <w:rFonts w:ascii="Calibri" w:hAnsi="Calibri"/>
                <w:b/>
                <w:i w:val="0"/>
                <w:color w:val="FFFFFF"/>
                <w:sz w:val="18"/>
              </w:rPr>
              <w:t>Entry BX Condition</w:t>
            </w:r>
          </w:p>
        </w:tc>
        <w:tc>
          <w:tcPr>
            <w:shd w:val="clear" w:color="auto" w:fill="1F497D"/>
            <w:tcBorders>
              <w:top w:val="single" w:sz="4" w:space="0" w:color="1F497D"/>
              <w:left w:val="single" w:sz="4" w:space="0" w:color="1F497D"/>
              <w:bottom w:val="single" w:sz="4" w:space="0" w:color="1F497D"/>
              <w:right w:val="single" w:sz="4" w:space="0" w:color="1F497D"/>
            </w:tcBorders>
            <w:tcW w:w="5669" w:type="dxa"/>
          </w:tcPr>
          <w:p>
            <w:pPr>
              <w:spacing w:before="40" w:after="40"/>
              <w:jc w:val="center"/>
            </w:pPr>
            <w:r/>
            <w:r>
              <w:rPr>
                <w:rFonts w:ascii="Calibri" w:hAnsi="Calibri"/>
                <w:b/>
                <w:i w:val="0"/>
                <w:color w:val="FFFFFF"/>
                <w:sz w:val="18"/>
              </w:rPr>
              <w:t>Status / Effect</w:t>
            </w:r>
          </w:p>
        </w:tc>
      </w:tr>
      <w:tr>
        <w:tc>
          <w:tcPr>
            <w:shd w:val="clear" w:color="auto" w:fill="D6E4F0"/>
            <w:tcBorders>
              <w:top w:val="single" w:sz="4" w:space="0" w:color="BBBBBB"/>
              <w:left w:val="single" w:sz="4" w:space="0" w:color="BBBBBB"/>
              <w:bottom w:val="single" w:sz="4" w:space="0" w:color="BBBBBB"/>
              <w:right w:val="single" w:sz="4" w:space="0" w:color="BBBBBB"/>
            </w:tcBorders>
            <w:tcW w:w="1133" w:type="dxa"/>
          </w:tcPr>
          <w:p>
            <w:pPr>
              <w:spacing w:before="40" w:after="40"/>
              <w:jc w:val="left"/>
            </w:pPr>
            <w:r/>
            <w:r>
              <w:rPr>
                <w:rFonts w:ascii="Courier New" w:hAnsi="Courier New"/>
                <w:b/>
                <w:i w:val="0"/>
                <w:color w:val="1A1A2E"/>
                <w:sz w:val="18"/>
              </w:rPr>
              <w:t>v1.1</w:t>
            </w:r>
          </w:p>
        </w:tc>
        <w:tc>
          <w:tcPr>
            <w:shd w:val="clear" w:color="auto" w:fill="D6E4F0"/>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bx_monthly_dark_red==0</w:t>
            </w:r>
          </w:p>
        </w:tc>
        <w:tc>
          <w:tcPr>
            <w:shd w:val="clear" w:color="auto" w:fill="D6E4F0"/>
            <w:tcBorders>
              <w:top w:val="single" w:sz="4" w:space="0" w:color="BBBBBB"/>
              <w:left w:val="single" w:sz="4" w:space="0" w:color="BBBBBB"/>
              <w:bottom w:val="single" w:sz="4" w:space="0" w:color="BBBBBB"/>
              <w:right w:val="single" w:sz="4" w:space="0" w:color="BBBBBB"/>
            </w:tcBorders>
            <w:tcW w:w="5669" w:type="dxa"/>
          </w:tcPr>
          <w:p>
            <w:pPr>
              <w:spacing w:before="40" w:after="40"/>
              <w:jc w:val="left"/>
            </w:pPr>
            <w:r/>
            <w:r>
              <w:rPr>
                <w:rFonts w:ascii="Calibri" w:hAnsi="Calibri"/>
                <w:b w:val="0"/>
                <w:i w:val="0"/>
                <w:color w:val="000000"/>
                <w:sz w:val="18"/>
              </w:rPr>
              <w:t>BUG: indicators.py treated the last row of the dataset as a month-end, causing partial current-month BX to leak into bx_monthly_completed. Dark red could flip to 0 mid-month incorrectly.</w:t>
            </w:r>
          </w:p>
        </w:tc>
      </w:tr>
      <w:tr>
        <w:tc>
          <w:tcPr>
            <w:shd w:val="clear" w:color="auto" w:fill="FFFFFF"/>
            <w:tcBorders>
              <w:top w:val="single" w:sz="4" w:space="0" w:color="BBBBBB"/>
              <w:left w:val="single" w:sz="4" w:space="0" w:color="BBBBBB"/>
              <w:bottom w:val="single" w:sz="4" w:space="0" w:color="BBBBBB"/>
              <w:right w:val="single" w:sz="4" w:space="0" w:color="BBBBBB"/>
            </w:tcBorders>
            <w:tcW w:w="1133" w:type="dxa"/>
          </w:tcPr>
          <w:p>
            <w:pPr>
              <w:spacing w:before="40" w:after="40"/>
              <w:jc w:val="left"/>
            </w:pPr>
            <w:r/>
            <w:r>
              <w:rPr>
                <w:rFonts w:ascii="Courier New" w:hAnsi="Courier New"/>
                <w:b/>
                <w:i w:val="0"/>
                <w:color w:val="1A1A2E"/>
                <w:sz w:val="18"/>
              </w:rPr>
              <w:t>v1.2</w:t>
            </w:r>
          </w:p>
        </w:tc>
        <w:tc>
          <w:tcPr>
            <w:shd w:val="clear" w:color="auto" w:fill="FFFFFF"/>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bx_monthly_completed &gt; 0</w:t>
            </w:r>
          </w:p>
        </w:tc>
        <w:tc>
          <w:tcPr>
            <w:shd w:val="clear" w:color="auto" w:fill="FFFFFF"/>
            <w:tcBorders>
              <w:top w:val="single" w:sz="4" w:space="0" w:color="BBBBBB"/>
              <w:left w:val="single" w:sz="4" w:space="0" w:color="BBBBBB"/>
              <w:bottom w:val="single" w:sz="4" w:space="0" w:color="BBBBBB"/>
              <w:right w:val="single" w:sz="4" w:space="0" w:color="BBBBBB"/>
            </w:tcBorders>
            <w:tcW w:w="5669" w:type="dxa"/>
          </w:tcPr>
          <w:p>
            <w:pPr>
              <w:spacing w:before="40" w:after="40"/>
              <w:jc w:val="left"/>
            </w:pPr>
            <w:r/>
            <w:r>
              <w:rPr>
                <w:rFonts w:ascii="Calibri" w:hAnsi="Calibri"/>
                <w:b w:val="0"/>
                <w:i w:val="0"/>
                <w:color w:val="000000"/>
                <w:sz w:val="18"/>
              </w:rPr>
              <w:t>Too strict: blocked entry when monthly BX was negative but recovering. e.g. BJRI at -1.78 (recovering from -5.25) was incorrectly blocked.</w:t>
            </w:r>
          </w:p>
        </w:tc>
      </w:tr>
      <w:tr>
        <w:tc>
          <w:tcPr>
            <w:shd w:val="clear" w:color="auto" w:fill="D6E4F0"/>
            <w:tcBorders>
              <w:top w:val="single" w:sz="4" w:space="0" w:color="BBBBBB"/>
              <w:left w:val="single" w:sz="4" w:space="0" w:color="BBBBBB"/>
              <w:bottom w:val="single" w:sz="4" w:space="0" w:color="BBBBBB"/>
              <w:right w:val="single" w:sz="4" w:space="0" w:color="BBBBBB"/>
            </w:tcBorders>
            <w:tcW w:w="1133" w:type="dxa"/>
          </w:tcPr>
          <w:p>
            <w:pPr>
              <w:spacing w:before="40" w:after="40"/>
              <w:jc w:val="left"/>
            </w:pPr>
            <w:r/>
            <w:r>
              <w:rPr>
                <w:rFonts w:ascii="Courier New" w:hAnsi="Courier New"/>
                <w:b/>
                <w:i w:val="0"/>
                <w:color w:val="1A1A2E"/>
                <w:sz w:val="18"/>
              </w:rPr>
              <w:t>v1.3 (current)</w:t>
            </w:r>
          </w:p>
        </w:tc>
        <w:tc>
          <w:tcPr>
            <w:shd w:val="clear" w:color="auto" w:fill="D6E4F0"/>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bx_monthly_dark_red==0  (is_month_end bug fixed)</w:t>
            </w:r>
          </w:p>
        </w:tc>
        <w:tc>
          <w:tcPr>
            <w:shd w:val="clear" w:color="auto" w:fill="D6E4F0"/>
            <w:tcBorders>
              <w:top w:val="single" w:sz="4" w:space="0" w:color="BBBBBB"/>
              <w:left w:val="single" w:sz="4" w:space="0" w:color="BBBBBB"/>
              <w:bottom w:val="single" w:sz="4" w:space="0" w:color="BBBBBB"/>
              <w:right w:val="single" w:sz="4" w:space="0" w:color="BBBBBB"/>
            </w:tcBorders>
            <w:tcW w:w="5669" w:type="dxa"/>
          </w:tcPr>
          <w:p>
            <w:pPr>
              <w:spacing w:before="40" w:after="40"/>
              <w:jc w:val="left"/>
            </w:pPr>
            <w:r/>
            <w:r>
              <w:rPr>
                <w:rFonts w:ascii="Calibri" w:hAnsi="Calibri"/>
                <w:b w:val="0"/>
                <w:i w:val="0"/>
                <w:color w:val="000000"/>
                <w:sz w:val="18"/>
              </w:rPr>
              <w:t>CORRECT. Entry allowed when last closed month is green OR recovering. Blocked only when dark red (negative AND still falling). indicators.py fixed: last dataset row no longer treated as a month-end.</w:t>
            </w:r>
          </w:p>
        </w:tc>
      </w:tr>
    </w:tbl>
    <w:p/>
    <w:p>
      <w:pPr>
        <w:spacing w:before="320" w:after="100"/>
        <w:pBdr>
          <w:bottom w:val="single" w:sz="6" w:space="1" w:color="1F497D"/>
        </w:pBdr>
      </w:pPr>
      <w:r>
        <w:rPr>
          <w:rFonts w:ascii="Calibri" w:hAnsi="Calibri"/>
          <w:b/>
          <w:color w:val="1F497D"/>
          <w:sz w:val="30"/>
        </w:rPr>
        <w:t>2.  Snapshot Data Loading — load_backtest_snapshot()</w:t>
      </w:r>
    </w:p>
    <w:p>
      <w:pPr>
        <w:spacing w:before="40" w:after="100"/>
      </w:pPr>
      <w:r>
        <w:rPr>
          <w:rFonts w:ascii="Calibri" w:hAnsi="Calibri"/>
          <w:i w:val="0"/>
          <w:color w:val="222222"/>
          <w:sz w:val="20"/>
        </w:rPr>
        <w:t>The Backtest tab loads the weekly snapshot (one row per ticker, latest week only) from Delta Lake, then adds derived columns at query time. These derived columns are NOT stored in the Delta table.</w:t>
      </w:r>
    </w:p>
    <w:p>
      <w:pPr>
        <w:spacing w:before="120" w:after="60"/>
      </w:pPr>
      <w:r>
        <w:rPr>
          <w:rFonts w:ascii="Calibri" w:hAnsi="Calibri"/>
          <w:b/>
          <w:i/>
          <w:color w:val="444444"/>
          <w:sz w:val="18"/>
        </w:rPr>
        <w:t>Derived Columns Added at Query Time</w:t>
      </w:r>
    </w:p>
    <w:tbl>
      <w:tblPr>
        <w:tblStyle w:val="TableGrid"/>
        <w:tblW w:type="auto" w:w="0"/>
        <w:jc w:val="left"/>
        <w:tblLook w:firstColumn="1" w:firstRow="1" w:lastColumn="0" w:lastRow="0" w:noHBand="0" w:noVBand="1" w:val="04A0"/>
      </w:tblPr>
      <w:tblGrid>
        <w:gridCol w:w="2154"/>
        <w:gridCol w:w="3968"/>
        <w:gridCol w:w="3798"/>
      </w:tblGrid>
      <w:tr>
        <w:tc>
          <w:tcPr>
            <w:shd w:val="clear" w:color="auto" w:fill="1F497D"/>
            <w:tcBorders>
              <w:top w:val="single" w:sz="4" w:space="0" w:color="1F497D"/>
              <w:left w:val="single" w:sz="4" w:space="0" w:color="1F497D"/>
              <w:bottom w:val="single" w:sz="4" w:space="0" w:color="1F497D"/>
              <w:right w:val="single" w:sz="4" w:space="0" w:color="1F497D"/>
            </w:tcBorders>
            <w:tcW w:w="2154" w:type="dxa"/>
          </w:tcPr>
          <w:p>
            <w:pPr>
              <w:spacing w:before="40" w:after="40"/>
              <w:jc w:val="center"/>
            </w:pPr>
            <w:r/>
            <w:r>
              <w:rPr>
                <w:rFonts w:ascii="Calibri" w:hAnsi="Calibri"/>
                <w:b/>
                <w:i w:val="0"/>
                <w:color w:val="FFFFFF"/>
                <w:sz w:val="18"/>
              </w:rPr>
              <w:t>Column</w:t>
            </w:r>
          </w:p>
        </w:tc>
        <w:tc>
          <w:tcPr>
            <w:shd w:val="clear" w:color="auto" w:fill="1F497D"/>
            <w:tcBorders>
              <w:top w:val="single" w:sz="4" w:space="0" w:color="1F497D"/>
              <w:left w:val="single" w:sz="4" w:space="0" w:color="1F497D"/>
              <w:bottom w:val="single" w:sz="4" w:space="0" w:color="1F497D"/>
              <w:right w:val="single" w:sz="4" w:space="0" w:color="1F497D"/>
            </w:tcBorders>
            <w:tcW w:w="3968" w:type="dxa"/>
          </w:tcPr>
          <w:p>
            <w:pPr>
              <w:spacing w:before="40" w:after="40"/>
              <w:jc w:val="center"/>
            </w:pPr>
            <w:r/>
            <w:r>
              <w:rPr>
                <w:rFonts w:ascii="Calibri" w:hAnsi="Calibri"/>
                <w:b/>
                <w:i w:val="0"/>
                <w:color w:val="FFFFFF"/>
                <w:sz w:val="18"/>
              </w:rPr>
              <w:t>Formula</w:t>
            </w:r>
          </w:p>
        </w:tc>
        <w:tc>
          <w:tcPr>
            <w:shd w:val="clear" w:color="auto" w:fill="1F497D"/>
            <w:tcBorders>
              <w:top w:val="single" w:sz="4" w:space="0" w:color="1F497D"/>
              <w:left w:val="single" w:sz="4" w:space="0" w:color="1F497D"/>
              <w:bottom w:val="single" w:sz="4" w:space="0" w:color="1F497D"/>
              <w:right w:val="single" w:sz="4" w:space="0" w:color="1F497D"/>
            </w:tcBorders>
            <w:tcW w:w="3798" w:type="dxa"/>
          </w:tcPr>
          <w:p>
            <w:pPr>
              <w:spacing w:before="40" w:after="40"/>
              <w:jc w:val="center"/>
            </w:pPr>
            <w:r/>
            <w:r>
              <w:rPr>
                <w:rFonts w:ascii="Calibri" w:hAnsi="Calibri"/>
                <w:b/>
                <w:i w:val="0"/>
                <w:color w:val="FFFFFF"/>
                <w:sz w:val="18"/>
              </w:rPr>
              <w:t>Notes</w:t>
            </w:r>
          </w:p>
        </w:tc>
      </w:tr>
      <w:tr>
        <w:tc>
          <w:tcPr>
            <w:shd w:val="clear" w:color="auto" w:fill="D6E4F0"/>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ourier New" w:hAnsi="Courier New"/>
                <w:b/>
                <w:i w:val="0"/>
                <w:color w:val="1A1A2E"/>
                <w:sz w:val="18"/>
              </w:rPr>
              <w:t>_dist_upper_pct</w:t>
            </w:r>
          </w:p>
        </w:tc>
        <w:tc>
          <w:tcPr>
            <w:shd w:val="clear" w:color="auto" w:fill="D6E4F0"/>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(Close - fvb_upper_thresh) / fvb_upper_thresh x 100</w:t>
            </w:r>
          </w:p>
        </w:tc>
        <w:tc>
          <w:tcPr>
            <w:shd w:val="clear" w:color="auto" w:fill="D6E4F0"/>
            <w:tcBorders>
              <w:top w:val="single" w:sz="4" w:space="0" w:color="BBBBBB"/>
              <w:left w:val="single" w:sz="4" w:space="0" w:color="BBBBBB"/>
              <w:bottom w:val="single" w:sz="4" w:space="0" w:color="BBBBBB"/>
              <w:right w:val="single" w:sz="4" w:space="0" w:color="BBBBBB"/>
            </w:tcBorders>
            <w:tcW w:w="3798" w:type="dxa"/>
          </w:tcPr>
          <w:p>
            <w:pPr>
              <w:spacing w:before="40" w:after="40"/>
              <w:jc w:val="left"/>
            </w:pPr>
            <w:r/>
            <w:r>
              <w:rPr>
                <w:rFonts w:ascii="Calibri" w:hAnsi="Calibri"/>
                <w:b w:val="0"/>
                <w:i w:val="0"/>
                <w:color w:val="000000"/>
                <w:sz w:val="18"/>
              </w:rPr>
              <w:t>Negative = price is below upper band (in zone). Positive = above band.</w:t>
            </w:r>
          </w:p>
        </w:tc>
      </w:tr>
      <w:tr>
        <w:tc>
          <w:tcPr>
            <w:shd w:val="clear" w:color="auto" w:fill="FFFFFF"/>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ourier New" w:hAnsi="Courier New"/>
                <w:b/>
                <w:i w:val="0"/>
                <w:color w:val="1A1A2E"/>
                <w:sz w:val="18"/>
              </w:rPr>
              <w:t>_upside_to_tp_pct</w:t>
            </w:r>
          </w:p>
        </w:tc>
        <w:tc>
          <w:tcPr>
            <w:shd w:val="clear" w:color="auto" w:fill="FFFFFF"/>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(tpx1 - Close) / Close x 100</w:t>
            </w:r>
          </w:p>
        </w:tc>
        <w:tc>
          <w:tcPr>
            <w:shd w:val="clear" w:color="auto" w:fill="FFFFFF"/>
            <w:tcBorders>
              <w:top w:val="single" w:sz="4" w:space="0" w:color="BBBBBB"/>
              <w:left w:val="single" w:sz="4" w:space="0" w:color="BBBBBB"/>
              <w:bottom w:val="single" w:sz="4" w:space="0" w:color="BBBBBB"/>
              <w:right w:val="single" w:sz="4" w:space="0" w:color="BBBBBB"/>
            </w:tcBorders>
            <w:tcW w:w="3798" w:type="dxa"/>
          </w:tcPr>
          <w:p>
            <w:pPr>
              <w:spacing w:before="40" w:after="40"/>
              <w:jc w:val="left"/>
            </w:pPr>
            <w:r/>
            <w:r>
              <w:rPr>
                <w:rFonts w:ascii="Calibri" w:hAnsi="Calibri"/>
                <w:b w:val="0"/>
                <w:i w:val="0"/>
                <w:color w:val="000000"/>
                <w:sz w:val="18"/>
              </w:rPr>
              <w:t>How much % upside remains to the TPX1 target from current price.</w:t>
            </w:r>
          </w:p>
        </w:tc>
      </w:tr>
      <w:tr>
        <w:tc>
          <w:tcPr>
            <w:shd w:val="clear" w:color="auto" w:fill="D6E4F0"/>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ourier New" w:hAnsi="Courier New"/>
                <w:b/>
                <w:i w:val="0"/>
                <w:color w:val="1A1A2E"/>
                <w:sz w:val="18"/>
              </w:rPr>
              <w:t>_unrealised_pct</w:t>
            </w:r>
          </w:p>
        </w:tc>
        <w:tc>
          <w:tcPr>
            <w:shd w:val="clear" w:color="auto" w:fill="D6E4F0"/>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(Close - sig_entry_price) / sig_entry_price x 100</w:t>
            </w:r>
          </w:p>
        </w:tc>
        <w:tc>
          <w:tcPr>
            <w:shd w:val="clear" w:color="auto" w:fill="D6E4F0"/>
            <w:tcBorders>
              <w:top w:val="single" w:sz="4" w:space="0" w:color="BBBBBB"/>
              <w:left w:val="single" w:sz="4" w:space="0" w:color="BBBBBB"/>
              <w:bottom w:val="single" w:sz="4" w:space="0" w:color="BBBBBB"/>
              <w:right w:val="single" w:sz="4" w:space="0" w:color="BBBBBB"/>
            </w:tcBorders>
            <w:tcW w:w="3798" w:type="dxa"/>
          </w:tcPr>
          <w:p>
            <w:pPr>
              <w:spacing w:before="40" w:after="40"/>
              <w:jc w:val="left"/>
            </w:pPr>
            <w:r/>
            <w:r>
              <w:rPr>
                <w:rFonts w:ascii="Calibri" w:hAnsi="Calibri"/>
                <w:b w:val="0"/>
                <w:i w:val="0"/>
                <w:color w:val="000000"/>
                <w:sz w:val="18"/>
              </w:rPr>
              <w:t>Only populated when sig_in_position==1. NaN otherwise.</w:t>
            </w:r>
          </w:p>
        </w:tc>
      </w:tr>
      <w:tr>
        <w:tc>
          <w:tcPr>
            <w:shd w:val="clear" w:color="auto" w:fill="FFFFFF"/>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ourier New" w:hAnsi="Courier New"/>
                <w:b/>
                <w:i w:val="0"/>
                <w:color w:val="1A1A2E"/>
                <w:sz w:val="18"/>
              </w:rPr>
              <w:t>_fvb33_label</w:t>
            </w:r>
          </w:p>
        </w:tc>
        <w:tc>
          <w:tcPr>
            <w:shd w:val="clear" w:color="auto" w:fill="FFFFFF"/>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"Bullish" if fvb_band_green==1, else "Bearish"</w:t>
            </w:r>
          </w:p>
        </w:tc>
        <w:tc>
          <w:tcPr>
            <w:shd w:val="clear" w:color="auto" w:fill="FFFFFF"/>
            <w:tcBorders>
              <w:top w:val="single" w:sz="4" w:space="0" w:color="BBBBBB"/>
              <w:left w:val="single" w:sz="4" w:space="0" w:color="BBBBBB"/>
              <w:bottom w:val="single" w:sz="4" w:space="0" w:color="BBBBBB"/>
              <w:right w:val="single" w:sz="4" w:space="0" w:color="BBBBBB"/>
            </w:tcBorders>
            <w:tcW w:w="3798" w:type="dxa"/>
          </w:tcPr>
          <w:p>
            <w:pPr>
              <w:spacing w:before="40" w:after="40"/>
              <w:jc w:val="left"/>
            </w:pPr>
            <w:r/>
            <w:r>
              <w:rPr>
                <w:rFonts w:ascii="Calibri" w:hAnsi="Calibri"/>
                <w:b w:val="0"/>
                <w:i w:val="0"/>
                <w:color w:val="000000"/>
                <w:sz w:val="18"/>
              </w:rPr>
              <w:t>Human-readable label for FVB33 band state.</w:t>
            </w:r>
          </w:p>
        </w:tc>
      </w:tr>
      <w:tr>
        <w:tc>
          <w:tcPr>
            <w:shd w:val="clear" w:color="auto" w:fill="D6E4F0"/>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ourier New" w:hAnsi="Courier New"/>
                <w:b/>
                <w:i w:val="0"/>
                <w:color w:val="1A1A2E"/>
                <w:sz w:val="18"/>
              </w:rPr>
              <w:t>_bx_monthly_label</w:t>
            </w:r>
          </w:p>
        </w:tc>
        <w:tc>
          <w:tcPr>
            <w:shd w:val="clear" w:color="auto" w:fill="D6E4F0"/>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"Bullish" if bx_monthly_completed &gt; 0; "Bearish" if &lt;= 0</w:t>
            </w:r>
          </w:p>
        </w:tc>
        <w:tc>
          <w:tcPr>
            <w:shd w:val="clear" w:color="auto" w:fill="D6E4F0"/>
            <w:tcBorders>
              <w:top w:val="single" w:sz="4" w:space="0" w:color="BBBBBB"/>
              <w:left w:val="single" w:sz="4" w:space="0" w:color="BBBBBB"/>
              <w:bottom w:val="single" w:sz="4" w:space="0" w:color="BBBBBB"/>
              <w:right w:val="single" w:sz="4" w:space="0" w:color="BBBBBB"/>
            </w:tcBorders>
            <w:tcW w:w="3798" w:type="dxa"/>
          </w:tcPr>
          <w:p>
            <w:pPr>
              <w:spacing w:before="40" w:after="40"/>
              <w:jc w:val="left"/>
            </w:pPr>
            <w:r/>
            <w:r>
              <w:rPr>
                <w:rFonts w:ascii="Calibri" w:hAnsi="Calibri"/>
                <w:b w:val="0"/>
                <w:i w:val="0"/>
                <w:color w:val="000000"/>
                <w:sz w:val="18"/>
              </w:rPr>
              <w:t>Based on last CLOSED monthly candle. Null shown as dash.</w:t>
            </w:r>
          </w:p>
        </w:tc>
      </w:tr>
      <w:tr>
        <w:tc>
          <w:tcPr>
            <w:shd w:val="clear" w:color="auto" w:fill="FFFFFF"/>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ourier New" w:hAnsi="Courier New"/>
                <w:b/>
                <w:i w:val="0"/>
                <w:color w:val="1A1A2E"/>
                <w:sz w:val="18"/>
              </w:rPr>
              <w:t>_bx_weekly_label</w:t>
            </w:r>
          </w:p>
        </w:tc>
        <w:tc>
          <w:tcPr>
            <w:shd w:val="clear" w:color="auto" w:fill="FFFFFF"/>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"Bullish" if bx &gt; 0, else "Bearish"</w:t>
            </w:r>
          </w:p>
        </w:tc>
        <w:tc>
          <w:tcPr>
            <w:shd w:val="clear" w:color="auto" w:fill="FFFFFF"/>
            <w:tcBorders>
              <w:top w:val="single" w:sz="4" w:space="0" w:color="BBBBBB"/>
              <w:left w:val="single" w:sz="4" w:space="0" w:color="BBBBBB"/>
              <w:bottom w:val="single" w:sz="4" w:space="0" w:color="BBBBBB"/>
              <w:right w:val="single" w:sz="4" w:space="0" w:color="BBBBBB"/>
            </w:tcBorders>
            <w:tcW w:w="3798" w:type="dxa"/>
          </w:tcPr>
          <w:p>
            <w:pPr>
              <w:spacing w:before="40" w:after="40"/>
              <w:jc w:val="left"/>
            </w:pPr>
            <w:r/>
            <w:r>
              <w:rPr>
                <w:rFonts w:ascii="Calibri" w:hAnsi="Calibri"/>
                <w:b w:val="0"/>
                <w:i w:val="0"/>
                <w:color w:val="000000"/>
                <w:sz w:val="18"/>
              </w:rPr>
              <w:t>Based on chart-period (weekly) BX value.</w:t>
            </w:r>
          </w:p>
        </w:tc>
      </w:tr>
      <w:tr>
        <w:tc>
          <w:tcPr>
            <w:shd w:val="clear" w:color="auto" w:fill="D6E4F0"/>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ourier New" w:hAnsi="Courier New"/>
                <w:b/>
                <w:i w:val="0"/>
                <w:color w:val="1A1A2E"/>
                <w:sz w:val="18"/>
              </w:rPr>
              <w:t>_bx_mo_wk</w:t>
            </w:r>
          </w:p>
        </w:tc>
        <w:tc>
          <w:tcPr>
            <w:shd w:val="clear" w:color="auto" w:fill="D6E4F0"/>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Combination of monthly + weekly labels</w:t>
            </w:r>
          </w:p>
        </w:tc>
        <w:tc>
          <w:tcPr>
            <w:shd w:val="clear" w:color="auto" w:fill="D6E4F0"/>
            <w:tcBorders>
              <w:top w:val="single" w:sz="4" w:space="0" w:color="BBBBBB"/>
              <w:left w:val="single" w:sz="4" w:space="0" w:color="BBBBBB"/>
              <w:bottom w:val="single" w:sz="4" w:space="0" w:color="BBBBBB"/>
              <w:right w:val="single" w:sz="4" w:space="0" w:color="BBBBBB"/>
            </w:tcBorders>
            <w:tcW w:w="3798" w:type="dxa"/>
          </w:tcPr>
          <w:p>
            <w:pPr>
              <w:spacing w:before="40" w:after="40"/>
              <w:jc w:val="left"/>
            </w:pPr>
            <w:r/>
            <w:r>
              <w:rPr>
                <w:rFonts w:ascii="Calibri" w:hAnsi="Calibri"/>
                <w:b w:val="0"/>
                <w:i w:val="0"/>
                <w:color w:val="000000"/>
                <w:sz w:val="18"/>
              </w:rPr>
              <w:t>Values: "Bull / Bull", "Bull / Bear", "Bear / Bull", "Bear / Bear"</w:t>
            </w:r>
          </w:p>
        </w:tc>
      </w:tr>
      <w:tr>
        <w:tc>
          <w:tcPr>
            <w:shd w:val="clear" w:color="auto" w:fill="FFFFFF"/>
            <w:tcBorders>
              <w:top w:val="single" w:sz="4" w:space="0" w:color="BBBBBB"/>
              <w:left w:val="single" w:sz="4" w:space="0" w:color="BBBBBB"/>
              <w:bottom w:val="single" w:sz="4" w:space="0" w:color="BBBBBB"/>
              <w:right w:val="single" w:sz="4" w:space="0" w:color="BBBBBB"/>
            </w:tcBorders>
            <w:tcW w:w="2154" w:type="dxa"/>
          </w:tcPr>
          <w:p>
            <w:pPr>
              <w:spacing w:before="40" w:after="40"/>
              <w:jc w:val="left"/>
            </w:pPr>
            <w:r/>
            <w:r>
              <w:rPr>
                <w:rFonts w:ascii="Courier New" w:hAnsi="Courier New"/>
                <w:b/>
                <w:i w:val="0"/>
                <w:color w:val="1A1A2E"/>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3968" w:type="dxa"/>
          </w:tcPr>
          <w:p>
            <w:pPr>
              <w:spacing w:before="40" w:after="40"/>
              <w:jc w:val="left"/>
            </w:pPr>
            <w:r/>
            <w:r>
              <w:rPr>
                <w:rFonts w:ascii="Calibri" w:hAnsi="Calibri"/>
                <w:b w:val="0"/>
                <w:i w:val="0"/>
                <w:color w:val="000000"/>
                <w:sz w:val="18"/>
              </w:rPr>
              <w:t>Joined from SQLite universe DB via symbol lookup</w:t>
            </w:r>
          </w:p>
        </w:tc>
        <w:tc>
          <w:tcPr>
            <w:shd w:val="clear" w:color="auto" w:fill="FFFFFF"/>
            <w:tcBorders>
              <w:top w:val="single" w:sz="4" w:space="0" w:color="BBBBBB"/>
              <w:left w:val="single" w:sz="4" w:space="0" w:color="BBBBBB"/>
              <w:bottom w:val="single" w:sz="4" w:space="0" w:color="BBBBBB"/>
              <w:right w:val="single" w:sz="4" w:space="0" w:color="BBBBBB"/>
            </w:tcBorders>
            <w:tcW w:w="3798" w:type="dxa"/>
          </w:tcPr>
          <w:p>
            <w:pPr>
              <w:spacing w:before="40" w:after="40"/>
              <w:jc w:val="left"/>
            </w:pPr>
            <w:r/>
            <w:r>
              <w:rPr>
                <w:rFonts w:ascii="Calibri" w:hAnsi="Calibri"/>
                <w:b w:val="0"/>
                <w:i w:val="0"/>
                <w:color w:val="000000"/>
                <w:sz w:val="18"/>
              </w:rPr>
              <w:t>Dash for SPACs and warrants. Sourced from NASDAQ screener bulk download.</w:t>
            </w:r>
          </w:p>
        </w:tc>
      </w:tr>
    </w:tbl>
    <w:p/>
    <w:p>
      <w:pPr>
        <w:spacing w:before="320" w:after="100"/>
        <w:pBdr>
          <w:bottom w:val="single" w:sz="6" w:space="1" w:color="1F497D"/>
        </w:pBdr>
      </w:pPr>
      <w:r>
        <w:rPr>
          <w:rFonts w:ascii="Calibri" w:hAnsi="Calibri"/>
          <w:b/>
          <w:color w:val="1F497D"/>
          <w:sz w:val="30"/>
        </w:rPr>
        <w:t>3.  Tab 1 — Active Signals</w:t>
      </w:r>
    </w:p>
    <w:p>
      <w:pPr>
        <w:spacing w:before="40" w:after="100"/>
      </w:pPr>
      <w:r>
        <w:rPr>
          <w:rFonts w:ascii="Calibri" w:hAnsi="Calibri"/>
          <w:i w:val="0"/>
          <w:color w:val="222222"/>
          <w:sz w:val="20"/>
        </w:rPr>
        <w:t>Shows all tickers with a signal this week. The user selects which signal types to display via a multiselect filter.</w:t>
      </w:r>
    </w:p>
    <w:p>
      <w:pPr>
        <w:spacing w:before="200" w:after="60"/>
      </w:pPr>
      <w:r>
        <w:rPr>
          <w:rFonts w:ascii="Calibri" w:hAnsi="Calibri"/>
          <w:b/>
          <w:color w:val="1F497D"/>
          <w:sz w:val="22"/>
        </w:rPr>
        <w:t>Signal Filter Logic</w:t>
      </w:r>
    </w:p>
    <w:tbl>
      <w:tblPr>
        <w:tblStyle w:val="TableGrid"/>
        <w:tblW w:type="auto" w:w="0"/>
        <w:jc w:val="left"/>
        <w:tblLook w:firstColumn="1" w:firstRow="1" w:lastColumn="0" w:lastRow="0" w:noHBand="0" w:noVBand="1" w:val="04A0"/>
      </w:tblPr>
      <w:tblGrid>
        <w:gridCol w:w="1417"/>
        <w:gridCol w:w="2267"/>
        <w:gridCol w:w="6236"/>
      </w:tblGrid>
      <w:tr>
        <w:tc>
          <w:tcPr>
            <w:shd w:val="clear" w:color="auto" w:fill="1F497D"/>
            <w:tcBorders>
              <w:top w:val="single" w:sz="4" w:space="0" w:color="1F497D"/>
              <w:left w:val="single" w:sz="4" w:space="0" w:color="1F497D"/>
              <w:bottom w:val="single" w:sz="4" w:space="0" w:color="1F497D"/>
              <w:right w:val="single" w:sz="4" w:space="0" w:color="1F497D"/>
            </w:tcBorders>
            <w:tcW w:w="1417" w:type="dxa"/>
          </w:tcPr>
          <w:p>
            <w:pPr>
              <w:spacing w:before="40" w:after="40"/>
              <w:jc w:val="center"/>
            </w:pPr>
            <w:r/>
            <w:r>
              <w:rPr>
                <w:rFonts w:ascii="Calibri" w:hAnsi="Calibri"/>
                <w:b/>
                <w:i w:val="0"/>
                <w:color w:val="FFFFFF"/>
                <w:sz w:val="18"/>
              </w:rPr>
              <w:t>Label</w:t>
            </w:r>
          </w:p>
        </w:tc>
        <w:tc>
          <w:tcPr>
            <w:shd w:val="clear" w:color="auto" w:fill="1F497D"/>
            <w:tcBorders>
              <w:top w:val="single" w:sz="4" w:space="0" w:color="1F497D"/>
              <w:left w:val="single" w:sz="4" w:space="0" w:color="1F497D"/>
              <w:bottom w:val="single" w:sz="4" w:space="0" w:color="1F497D"/>
              <w:right w:val="single" w:sz="4" w:space="0" w:color="1F497D"/>
            </w:tcBorders>
            <w:tcW w:w="2267" w:type="dxa"/>
          </w:tcPr>
          <w:p>
            <w:pPr>
              <w:spacing w:before="40" w:after="40"/>
              <w:jc w:val="center"/>
            </w:pPr>
            <w:r/>
            <w:r>
              <w:rPr>
                <w:rFonts w:ascii="Calibri" w:hAnsi="Calibri"/>
                <w:b/>
                <w:i w:val="0"/>
                <w:color w:val="FFFFFF"/>
                <w:sz w:val="18"/>
              </w:rPr>
              <w:t>Column Checked</w:t>
            </w:r>
          </w:p>
        </w:tc>
        <w:tc>
          <w:tcPr>
            <w:shd w:val="clear" w:color="auto" w:fill="1F497D"/>
            <w:tcBorders>
              <w:top w:val="single" w:sz="4" w:space="0" w:color="1F497D"/>
              <w:left w:val="single" w:sz="4" w:space="0" w:color="1F497D"/>
              <w:bottom w:val="single" w:sz="4" w:space="0" w:color="1F497D"/>
              <w:right w:val="single" w:sz="4" w:space="0" w:color="1F497D"/>
            </w:tcBorders>
            <w:tcW w:w="6236" w:type="dxa"/>
          </w:tcPr>
          <w:p>
            <w:pPr>
              <w:spacing w:before="40" w:after="40"/>
              <w:jc w:val="center"/>
            </w:pPr>
            <w:r/>
            <w:r>
              <w:rPr>
                <w:rFonts w:ascii="Calibri" w:hAnsi="Calibri"/>
                <w:b/>
                <w:i w:val="0"/>
                <w:color w:val="FFFFFF"/>
                <w:sz w:val="18"/>
              </w:rPr>
              <w:t>Meaning</w:t>
            </w:r>
          </w:p>
        </w:tc>
      </w:tr>
      <w:tr>
        <w:tc>
          <w:tcPr>
            <w:shd w:val="clear" w:color="auto" w:fill="D6E4F0"/>
            <w:tcBorders>
              <w:top w:val="single" w:sz="4" w:space="0" w:color="BBBBBB"/>
              <w:left w:val="single" w:sz="4" w:space="0" w:color="BBBBBB"/>
              <w:bottom w:val="single" w:sz="4" w:space="0" w:color="BBBBBB"/>
              <w:right w:val="single" w:sz="4" w:space="0" w:color="BBBBBB"/>
            </w:tcBorders>
            <w:tcW w:w="1417" w:type="dxa"/>
          </w:tcPr>
          <w:p>
            <w:pPr>
              <w:spacing w:before="40" w:after="40"/>
              <w:jc w:val="left"/>
            </w:pPr>
            <w:r/>
            <w:r>
              <w:rPr>
                <w:rFonts w:ascii="Courier New" w:hAnsi="Courier New"/>
                <w:b/>
                <w:i w:val="0"/>
                <w:color w:val="1A1A2E"/>
                <w:sz w:val="18"/>
              </w:rPr>
              <w:t>Entry</w:t>
            </w:r>
          </w:p>
        </w:tc>
        <w:tc>
          <w:tcPr>
            <w:shd w:val="clear" w:color="auto" w:fill="D6E4F0"/>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sig_entry == 1</w:t>
            </w:r>
          </w:p>
        </w:tc>
        <w:tc>
          <w:tcPr>
            <w:shd w:val="clear" w:color="auto" w:fill="D6E4F0"/>
            <w:tcBorders>
              <w:top w:val="single" w:sz="4" w:space="0" w:color="BBBBBB"/>
              <w:left w:val="single" w:sz="4" w:space="0" w:color="BBBBBB"/>
              <w:bottom w:val="single" w:sz="4" w:space="0" w:color="BBBBBB"/>
              <w:right w:val="single" w:sz="4" w:space="0" w:color="BBBBBB"/>
            </w:tcBorders>
            <w:tcW w:w="6236" w:type="dxa"/>
          </w:tcPr>
          <w:p>
            <w:pPr>
              <w:spacing w:before="40" w:after="40"/>
              <w:jc w:val="left"/>
            </w:pPr>
            <w:r/>
            <w:r>
              <w:rPr>
                <w:rFonts w:ascii="Calibri" w:hAnsi="Calibri"/>
                <w:b w:val="0"/>
                <w:i w:val="0"/>
                <w:color w:val="000000"/>
                <w:sz w:val="18"/>
              </w:rPr>
              <w:t>New position opened from FLAT_SL state this week.</w:t>
            </w:r>
          </w:p>
        </w:tc>
      </w:tr>
      <w:tr>
        <w:tc>
          <w:tcPr>
            <w:shd w:val="clear" w:color="auto" w:fill="FFFFFF"/>
            <w:tcBorders>
              <w:top w:val="single" w:sz="4" w:space="0" w:color="BBBBBB"/>
              <w:left w:val="single" w:sz="4" w:space="0" w:color="BBBBBB"/>
              <w:bottom w:val="single" w:sz="4" w:space="0" w:color="BBBBBB"/>
              <w:right w:val="single" w:sz="4" w:space="0" w:color="BBBBBB"/>
            </w:tcBorders>
            <w:tcW w:w="1417" w:type="dxa"/>
          </w:tcPr>
          <w:p>
            <w:pPr>
              <w:spacing w:before="40" w:after="40"/>
              <w:jc w:val="left"/>
            </w:pPr>
            <w:r/>
            <w:r>
              <w:rPr>
                <w:rFonts w:ascii="Courier New" w:hAnsi="Courier New"/>
                <w:b/>
                <w:i w:val="0"/>
                <w:color w:val="1A1A2E"/>
                <w:sz w:val="18"/>
              </w:rPr>
              <w:t>Re-Entry</w:t>
            </w:r>
          </w:p>
        </w:tc>
        <w:tc>
          <w:tcPr>
            <w:shd w:val="clear" w:color="auto" w:fill="FFFFFF"/>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sig_reentry == 1</w:t>
            </w:r>
          </w:p>
        </w:tc>
        <w:tc>
          <w:tcPr>
            <w:shd w:val="clear" w:color="auto" w:fill="FFFFFF"/>
            <w:tcBorders>
              <w:top w:val="single" w:sz="4" w:space="0" w:color="BBBBBB"/>
              <w:left w:val="single" w:sz="4" w:space="0" w:color="BBBBBB"/>
              <w:bottom w:val="single" w:sz="4" w:space="0" w:color="BBBBBB"/>
              <w:right w:val="single" w:sz="4" w:space="0" w:color="BBBBBB"/>
            </w:tcBorders>
            <w:tcW w:w="6236" w:type="dxa"/>
          </w:tcPr>
          <w:p>
            <w:pPr>
              <w:spacing w:before="40" w:after="40"/>
              <w:jc w:val="left"/>
            </w:pPr>
            <w:r/>
            <w:r>
              <w:rPr>
                <w:rFonts w:ascii="Calibri" w:hAnsi="Calibri"/>
                <w:b w:val="0"/>
                <w:i w:val="0"/>
                <w:color w:val="000000"/>
                <w:sz w:val="18"/>
              </w:rPr>
              <w:t>Re-opened after a prior TP; same entry conditions, from FLAT_TP state.</w:t>
            </w:r>
          </w:p>
        </w:tc>
      </w:tr>
      <w:tr>
        <w:tc>
          <w:tcPr>
            <w:shd w:val="clear" w:color="auto" w:fill="D6E4F0"/>
            <w:tcBorders>
              <w:top w:val="single" w:sz="4" w:space="0" w:color="BBBBBB"/>
              <w:left w:val="single" w:sz="4" w:space="0" w:color="BBBBBB"/>
              <w:bottom w:val="single" w:sz="4" w:space="0" w:color="BBBBBB"/>
              <w:right w:val="single" w:sz="4" w:space="0" w:color="BBBBBB"/>
            </w:tcBorders>
            <w:tcW w:w="1417" w:type="dxa"/>
          </w:tcPr>
          <w:p>
            <w:pPr>
              <w:spacing w:before="40" w:after="40"/>
              <w:jc w:val="left"/>
            </w:pPr>
            <w:r/>
            <w:r>
              <w:rPr>
                <w:rFonts w:ascii="Courier New" w:hAnsi="Courier New"/>
                <w:b/>
                <w:i w:val="0"/>
                <w:color w:val="1A1A2E"/>
                <w:sz w:val="18"/>
              </w:rPr>
              <w:t>Add</w:t>
            </w:r>
          </w:p>
        </w:tc>
        <w:tc>
          <w:tcPr>
            <w:shd w:val="clear" w:color="auto" w:fill="D6E4F0"/>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sig_add == 1</w:t>
            </w:r>
          </w:p>
        </w:tc>
        <w:tc>
          <w:tcPr>
            <w:shd w:val="clear" w:color="auto" w:fill="D6E4F0"/>
            <w:tcBorders>
              <w:top w:val="single" w:sz="4" w:space="0" w:color="BBBBBB"/>
              <w:left w:val="single" w:sz="4" w:space="0" w:color="BBBBBB"/>
              <w:bottom w:val="single" w:sz="4" w:space="0" w:color="BBBBBB"/>
              <w:right w:val="single" w:sz="4" w:space="0" w:color="BBBBBB"/>
            </w:tcBorders>
            <w:tcW w:w="6236" w:type="dxa"/>
          </w:tcPr>
          <w:p>
            <w:pPr>
              <w:spacing w:before="40" w:after="40"/>
              <w:jc w:val="left"/>
            </w:pPr>
            <w:r/>
            <w:r>
              <w:rPr>
                <w:rFonts w:ascii="Calibri" w:hAnsi="Calibri"/>
                <w:b w:val="0"/>
                <w:i w:val="0"/>
                <w:color w:val="000000"/>
                <w:sz w:val="18"/>
              </w:rPr>
              <w:t>Price pulled back to FVB33 entry zone while already LONG — add to position.</w:t>
            </w:r>
          </w:p>
        </w:tc>
      </w:tr>
      <w:tr>
        <w:tc>
          <w:tcPr>
            <w:shd w:val="clear" w:color="auto" w:fill="FFFFFF"/>
            <w:tcBorders>
              <w:top w:val="single" w:sz="4" w:space="0" w:color="BBBBBB"/>
              <w:left w:val="single" w:sz="4" w:space="0" w:color="BBBBBB"/>
              <w:bottom w:val="single" w:sz="4" w:space="0" w:color="BBBBBB"/>
              <w:right w:val="single" w:sz="4" w:space="0" w:color="BBBBBB"/>
            </w:tcBorders>
            <w:tcW w:w="1417" w:type="dxa"/>
          </w:tcPr>
          <w:p>
            <w:pPr>
              <w:spacing w:before="40" w:after="40"/>
              <w:jc w:val="left"/>
            </w:pPr>
            <w:r/>
            <w:r>
              <w:rPr>
                <w:rFonts w:ascii="Courier New" w:hAnsi="Courier New"/>
                <w:b/>
                <w:i w:val="0"/>
                <w:color w:val="1A1A2E"/>
                <w:sz w:val="18"/>
              </w:rPr>
              <w:t>TP Hit</w:t>
            </w:r>
          </w:p>
        </w:tc>
        <w:tc>
          <w:tcPr>
            <w:shd w:val="clear" w:color="auto" w:fill="FFFFFF"/>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sig_tp == 1</w:t>
            </w:r>
          </w:p>
        </w:tc>
        <w:tc>
          <w:tcPr>
            <w:shd w:val="clear" w:color="auto" w:fill="FFFFFF"/>
            <w:tcBorders>
              <w:top w:val="single" w:sz="4" w:space="0" w:color="BBBBBB"/>
              <w:left w:val="single" w:sz="4" w:space="0" w:color="BBBBBB"/>
              <w:bottom w:val="single" w:sz="4" w:space="0" w:color="BBBBBB"/>
              <w:right w:val="single" w:sz="4" w:space="0" w:color="BBBBBB"/>
            </w:tcBorders>
            <w:tcW w:w="6236" w:type="dxa"/>
          </w:tcPr>
          <w:p>
            <w:pPr>
              <w:spacing w:before="40" w:after="40"/>
              <w:jc w:val="left"/>
            </w:pPr>
            <w:r/>
            <w:r>
              <w:rPr>
                <w:rFonts w:ascii="Calibri" w:hAnsi="Calibri"/>
                <w:b w:val="0"/>
                <w:i w:val="0"/>
                <w:color w:val="000000"/>
                <w:sz w:val="18"/>
              </w:rPr>
              <w:t>Weekly High &gt;= TPX1 this week — trade closed in profit at target.</w:t>
            </w:r>
          </w:p>
        </w:tc>
      </w:tr>
      <w:tr>
        <w:tc>
          <w:tcPr>
            <w:shd w:val="clear" w:color="auto" w:fill="D6E4F0"/>
            <w:tcBorders>
              <w:top w:val="single" w:sz="4" w:space="0" w:color="BBBBBB"/>
              <w:left w:val="single" w:sz="4" w:space="0" w:color="BBBBBB"/>
              <w:bottom w:val="single" w:sz="4" w:space="0" w:color="BBBBBB"/>
              <w:right w:val="single" w:sz="4" w:space="0" w:color="BBBBBB"/>
            </w:tcBorders>
            <w:tcW w:w="1417" w:type="dxa"/>
          </w:tcPr>
          <w:p>
            <w:pPr>
              <w:spacing w:before="40" w:after="40"/>
              <w:jc w:val="left"/>
            </w:pPr>
            <w:r/>
            <w:r>
              <w:rPr>
                <w:rFonts w:ascii="Courier New" w:hAnsi="Courier New"/>
                <w:b/>
                <w:i w:val="0"/>
                <w:color w:val="1A1A2E"/>
                <w:sz w:val="18"/>
              </w:rPr>
              <w:t>SL</w:t>
            </w:r>
          </w:p>
        </w:tc>
        <w:tc>
          <w:tcPr>
            <w:shd w:val="clear" w:color="auto" w:fill="D6E4F0"/>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sig_sl == 1</w:t>
            </w:r>
          </w:p>
        </w:tc>
        <w:tc>
          <w:tcPr>
            <w:shd w:val="clear" w:color="auto" w:fill="D6E4F0"/>
            <w:tcBorders>
              <w:top w:val="single" w:sz="4" w:space="0" w:color="BBBBBB"/>
              <w:left w:val="single" w:sz="4" w:space="0" w:color="BBBBBB"/>
              <w:bottom w:val="single" w:sz="4" w:space="0" w:color="BBBBBB"/>
              <w:right w:val="single" w:sz="4" w:space="0" w:color="BBBBBB"/>
            </w:tcBorders>
            <w:tcW w:w="6236" w:type="dxa"/>
          </w:tcPr>
          <w:p>
            <w:pPr>
              <w:spacing w:before="40" w:after="40"/>
              <w:jc w:val="left"/>
            </w:pPr>
            <w:r/>
            <w:r>
              <w:rPr>
                <w:rFonts w:ascii="Calibri" w:hAnsi="Calibri"/>
                <w:b w:val="0"/>
                <w:i w:val="0"/>
                <w:color w:val="000000"/>
                <w:sz w:val="18"/>
              </w:rPr>
              <w:t>bx_monthly_dark_red==1 this week — trade stopped out.</w:t>
            </w:r>
          </w:p>
        </w:tc>
      </w:tr>
    </w:tbl>
    <w:p/>
    <w:p>
      <w:pPr>
        <w:spacing w:before="200" w:after="60"/>
      </w:pPr>
      <w:r>
        <w:rPr>
          <w:rFonts w:ascii="Calibri" w:hAnsi="Calibri"/>
          <w:b/>
          <w:color w:val="1F497D"/>
          <w:sz w:val="22"/>
        </w:rPr>
        <w:t>Additional Filters</w:t>
      </w:r>
    </w:p>
    <w:tbl>
      <w:tblPr>
        <w:tblStyle w:val="TableGrid"/>
        <w:tblW w:type="auto" w:w="0"/>
        <w:jc w:val="left"/>
        <w:tblLook w:firstColumn="1" w:firstRow="1" w:lastColumn="0" w:lastRow="0" w:noHBand="0" w:noVBand="1" w:val="04A0"/>
      </w:tblPr>
      <w:tblGrid>
        <w:gridCol w:w="1700"/>
        <w:gridCol w:w="2267"/>
        <w:gridCol w:w="5952"/>
      </w:tblGrid>
      <w:tr>
        <w:tc>
          <w:tcPr>
            <w:shd w:val="clear" w:color="auto" w:fill="1F497D"/>
            <w:tcBorders>
              <w:top w:val="single" w:sz="4" w:space="0" w:color="1F497D"/>
              <w:left w:val="single" w:sz="4" w:space="0" w:color="1F497D"/>
              <w:bottom w:val="single" w:sz="4" w:space="0" w:color="1F497D"/>
              <w:right w:val="single" w:sz="4" w:space="0" w:color="1F497D"/>
            </w:tcBorders>
            <w:tcW w:w="1700" w:type="dxa"/>
          </w:tcPr>
          <w:p>
            <w:pPr>
              <w:spacing w:before="40" w:after="40"/>
              <w:jc w:val="center"/>
            </w:pPr>
            <w:r/>
            <w:r>
              <w:rPr>
                <w:rFonts w:ascii="Calibri" w:hAnsi="Calibri"/>
                <w:b/>
                <w:i w:val="0"/>
                <w:color w:val="FFFFFF"/>
                <w:sz w:val="18"/>
              </w:rPr>
              <w:t>Filter</w:t>
            </w:r>
          </w:p>
        </w:tc>
        <w:tc>
          <w:tcPr>
            <w:shd w:val="clear" w:color="auto" w:fill="1F497D"/>
            <w:tcBorders>
              <w:top w:val="single" w:sz="4" w:space="0" w:color="1F497D"/>
              <w:left w:val="single" w:sz="4" w:space="0" w:color="1F497D"/>
              <w:bottom w:val="single" w:sz="4" w:space="0" w:color="1F497D"/>
              <w:right w:val="single" w:sz="4" w:space="0" w:color="1F497D"/>
            </w:tcBorders>
            <w:tcW w:w="2267" w:type="dxa"/>
          </w:tcPr>
          <w:p>
            <w:pPr>
              <w:spacing w:before="40" w:after="40"/>
              <w:jc w:val="center"/>
            </w:pPr>
            <w:r/>
            <w:r>
              <w:rPr>
                <w:rFonts w:ascii="Calibri" w:hAnsi="Calibri"/>
                <w:b/>
                <w:i w:val="0"/>
                <w:color w:val="FFFFFF"/>
                <w:sz w:val="18"/>
              </w:rPr>
              <w:t>Column</w:t>
            </w:r>
          </w:p>
        </w:tc>
        <w:tc>
          <w:tcPr>
            <w:shd w:val="clear" w:color="auto" w:fill="1F497D"/>
            <w:tcBorders>
              <w:top w:val="single" w:sz="4" w:space="0" w:color="1F497D"/>
              <w:left w:val="single" w:sz="4" w:space="0" w:color="1F497D"/>
              <w:bottom w:val="single" w:sz="4" w:space="0" w:color="1F497D"/>
              <w:right w:val="single" w:sz="4" w:space="0" w:color="1F497D"/>
            </w:tcBorders>
            <w:tcW w:w="5952" w:type="dxa"/>
          </w:tcPr>
          <w:p>
            <w:pPr>
              <w:spacing w:before="40" w:after="40"/>
              <w:jc w:val="center"/>
            </w:pPr>
            <w:r/>
            <w:r>
              <w:rPr>
                <w:rFonts w:ascii="Calibri" w:hAnsi="Calibri"/>
                <w:b/>
                <w:i w:val="0"/>
                <w:color w:val="FFFFFF"/>
                <w:sz w:val="18"/>
              </w:rPr>
              <w:t>Logic</w:t>
            </w:r>
          </w:p>
        </w:tc>
      </w:tr>
      <w:tr>
        <w:tc>
          <w:tcPr>
            <w:shd w:val="clear" w:color="auto" w:fill="D6E4F0"/>
            <w:tcBorders>
              <w:top w:val="single" w:sz="4" w:space="0" w:color="BBBBBB"/>
              <w:left w:val="single" w:sz="4" w:space="0" w:color="BBBBBB"/>
              <w:bottom w:val="single" w:sz="4" w:space="0" w:color="BBBBBB"/>
              <w:right w:val="single" w:sz="4" w:space="0" w:color="BBBBBB"/>
            </w:tcBorders>
            <w:tcW w:w="1700" w:type="dxa"/>
          </w:tcPr>
          <w:p>
            <w:pPr>
              <w:spacing w:before="40" w:after="40"/>
              <w:jc w:val="left"/>
            </w:pPr>
            <w:r/>
            <w:r>
              <w:rPr>
                <w:rFonts w:ascii="Courier New" w:hAnsi="Courier New"/>
                <w:b/>
                <w:i w:val="0"/>
                <w:color w:val="1A1A2E"/>
                <w:sz w:val="18"/>
              </w:rPr>
              <w:t>FVB33</w:t>
            </w:r>
          </w:p>
        </w:tc>
        <w:tc>
          <w:tcPr>
            <w:shd w:val="clear" w:color="auto" w:fill="D6E4F0"/>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_fvb33_label</w:t>
            </w:r>
          </w:p>
        </w:tc>
        <w:tc>
          <w:tcPr>
            <w:shd w:val="clear" w:color="auto" w:fill="D6E4F0"/>
            <w:tcBorders>
              <w:top w:val="single" w:sz="4" w:space="0" w:color="BBBBBB"/>
              <w:left w:val="single" w:sz="4" w:space="0" w:color="BBBBBB"/>
              <w:bottom w:val="single" w:sz="4" w:space="0" w:color="BBBBBB"/>
              <w:right w:val="single" w:sz="4" w:space="0" w:color="BBBBBB"/>
            </w:tcBorders>
            <w:tcW w:w="5952" w:type="dxa"/>
          </w:tcPr>
          <w:p>
            <w:pPr>
              <w:spacing w:before="40" w:after="40"/>
              <w:jc w:val="left"/>
            </w:pPr>
            <w:r/>
            <w:r>
              <w:rPr>
                <w:rFonts w:ascii="Calibri" w:hAnsi="Calibri"/>
                <w:b w:val="0"/>
                <w:i w:val="0"/>
                <w:color w:val="000000"/>
                <w:sz w:val="18"/>
              </w:rPr>
              <w:t>Equality match: "Bullish" or "Bearish"</w:t>
            </w:r>
          </w:p>
        </w:tc>
      </w:tr>
      <w:tr>
        <w:tc>
          <w:tcPr>
            <w:shd w:val="clear" w:color="auto" w:fill="FFFFFF"/>
            <w:tcBorders>
              <w:top w:val="single" w:sz="4" w:space="0" w:color="BBBBBB"/>
              <w:left w:val="single" w:sz="4" w:space="0" w:color="BBBBBB"/>
              <w:bottom w:val="single" w:sz="4" w:space="0" w:color="BBBBBB"/>
              <w:right w:val="single" w:sz="4" w:space="0" w:color="BBBBBB"/>
            </w:tcBorders>
            <w:tcW w:w="1700" w:type="dxa"/>
          </w:tcPr>
          <w:p>
            <w:pPr>
              <w:spacing w:before="40" w:after="40"/>
              <w:jc w:val="left"/>
            </w:pPr>
            <w:r/>
            <w:r>
              <w:rPr>
                <w:rFonts w:ascii="Courier New" w:hAnsi="Courier New"/>
                <w:b/>
                <w:i w:val="0"/>
                <w:color w:val="1A1A2E"/>
                <w:sz w:val="18"/>
              </w:rPr>
              <w:t>Monthly BX</w:t>
            </w:r>
          </w:p>
        </w:tc>
        <w:tc>
          <w:tcPr>
            <w:shd w:val="clear" w:color="auto" w:fill="FFFFFF"/>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_bx_monthly_label</w:t>
            </w:r>
          </w:p>
        </w:tc>
        <w:tc>
          <w:tcPr>
            <w:shd w:val="clear" w:color="auto" w:fill="FFFFFF"/>
            <w:tcBorders>
              <w:top w:val="single" w:sz="4" w:space="0" w:color="BBBBBB"/>
              <w:left w:val="single" w:sz="4" w:space="0" w:color="BBBBBB"/>
              <w:bottom w:val="single" w:sz="4" w:space="0" w:color="BBBBBB"/>
              <w:right w:val="single" w:sz="4" w:space="0" w:color="BBBBBB"/>
            </w:tcBorders>
            <w:tcW w:w="5952" w:type="dxa"/>
          </w:tcPr>
          <w:p>
            <w:pPr>
              <w:spacing w:before="40" w:after="40"/>
              <w:jc w:val="left"/>
            </w:pPr>
            <w:r/>
            <w:r>
              <w:rPr>
                <w:rFonts w:ascii="Calibri" w:hAnsi="Calibri"/>
                <w:b w:val="0"/>
                <w:i w:val="0"/>
                <w:color w:val="000000"/>
                <w:sz w:val="18"/>
              </w:rPr>
              <w:t>Equality match: "Bullish" or "Bearish"</w:t>
            </w:r>
          </w:p>
        </w:tc>
      </w:tr>
      <w:tr>
        <w:tc>
          <w:tcPr>
            <w:shd w:val="clear" w:color="auto" w:fill="D6E4F0"/>
            <w:tcBorders>
              <w:top w:val="single" w:sz="4" w:space="0" w:color="BBBBBB"/>
              <w:left w:val="single" w:sz="4" w:space="0" w:color="BBBBBB"/>
              <w:bottom w:val="single" w:sz="4" w:space="0" w:color="BBBBBB"/>
              <w:right w:val="single" w:sz="4" w:space="0" w:color="BBBBBB"/>
            </w:tcBorders>
            <w:tcW w:w="1700" w:type="dxa"/>
          </w:tcPr>
          <w:p>
            <w:pPr>
              <w:spacing w:before="40" w:after="40"/>
              <w:jc w:val="left"/>
            </w:pPr>
            <w:r/>
            <w:r>
              <w:rPr>
                <w:rFonts w:ascii="Courier New" w:hAnsi="Courier New"/>
                <w:b/>
                <w:i w:val="0"/>
                <w:color w:val="1A1A2E"/>
                <w:sz w:val="18"/>
              </w:rPr>
              <w:t>Mo/Wk BX</w:t>
            </w:r>
          </w:p>
        </w:tc>
        <w:tc>
          <w:tcPr>
            <w:shd w:val="clear" w:color="auto" w:fill="D6E4F0"/>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_bx_mo_wk</w:t>
            </w:r>
          </w:p>
        </w:tc>
        <w:tc>
          <w:tcPr>
            <w:shd w:val="clear" w:color="auto" w:fill="D6E4F0"/>
            <w:tcBorders>
              <w:top w:val="single" w:sz="4" w:space="0" w:color="BBBBBB"/>
              <w:left w:val="single" w:sz="4" w:space="0" w:color="BBBBBB"/>
              <w:bottom w:val="single" w:sz="4" w:space="0" w:color="BBBBBB"/>
              <w:right w:val="single" w:sz="4" w:space="0" w:color="BBBBBB"/>
            </w:tcBorders>
            <w:tcW w:w="5952" w:type="dxa"/>
          </w:tcPr>
          <w:p>
            <w:pPr>
              <w:spacing w:before="40" w:after="40"/>
              <w:jc w:val="left"/>
            </w:pPr>
            <w:r/>
            <w:r>
              <w:rPr>
                <w:rFonts w:ascii="Calibri" w:hAnsi="Calibri"/>
                <w:b w:val="0"/>
                <w:i w:val="0"/>
                <w:color w:val="000000"/>
                <w:sz w:val="18"/>
              </w:rPr>
              <w:t>Equality match: "Bull/Bull", "Bull/Bear", "Bear/Bull", "Bear/Bear"</w:t>
            </w:r>
          </w:p>
        </w:tc>
      </w:tr>
      <w:tr>
        <w:tc>
          <w:tcPr>
            <w:shd w:val="clear" w:color="auto" w:fill="FFFFFF"/>
            <w:tcBorders>
              <w:top w:val="single" w:sz="4" w:space="0" w:color="BBBBBB"/>
              <w:left w:val="single" w:sz="4" w:space="0" w:color="BBBBBB"/>
              <w:bottom w:val="single" w:sz="4" w:space="0" w:color="BBBBBB"/>
              <w:right w:val="single" w:sz="4" w:space="0" w:color="BBBBBB"/>
            </w:tcBorders>
            <w:tcW w:w="1700" w:type="dxa"/>
          </w:tcPr>
          <w:p>
            <w:pPr>
              <w:spacing w:before="40" w:after="40"/>
              <w:jc w:val="left"/>
            </w:pPr>
            <w:r/>
            <w:r>
              <w:rPr>
                <w:rFonts w:ascii="Courier New" w:hAnsi="Courier New"/>
                <w:b/>
                <w:i w:val="0"/>
                <w:color w:val="1A1A2E"/>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5952" w:type="dxa"/>
          </w:tcPr>
          <w:p>
            <w:pPr>
              <w:spacing w:before="40" w:after="40"/>
              <w:jc w:val="left"/>
            </w:pPr>
            <w:r/>
            <w:r>
              <w:rPr>
                <w:rFonts w:ascii="Calibri" w:hAnsi="Calibri"/>
                <w:b w:val="0"/>
                <w:i w:val="0"/>
                <w:color w:val="000000"/>
                <w:sz w:val="18"/>
              </w:rPr>
              <w:t>Multi-select — any of the selected sectors.</w:t>
            </w:r>
          </w:p>
        </w:tc>
      </w:tr>
      <w:tr>
        <w:tc>
          <w:tcPr>
            <w:shd w:val="clear" w:color="auto" w:fill="D6E4F0"/>
            <w:tcBorders>
              <w:top w:val="single" w:sz="4" w:space="0" w:color="BBBBBB"/>
              <w:left w:val="single" w:sz="4" w:space="0" w:color="BBBBBB"/>
              <w:bottom w:val="single" w:sz="4" w:space="0" w:color="BBBBBB"/>
              <w:right w:val="single" w:sz="4" w:space="0" w:color="BBBBBB"/>
            </w:tcBorders>
            <w:tcW w:w="1700" w:type="dxa"/>
          </w:tcPr>
          <w:p>
            <w:pPr>
              <w:spacing w:before="40" w:after="40"/>
              <w:jc w:val="left"/>
            </w:pPr>
            <w:r/>
            <w:r>
              <w:rPr>
                <w:rFonts w:ascii="Courier New" w:hAnsi="Courier New"/>
                <w:b/>
                <w:i w:val="0"/>
                <w:color w:val="1A1A2E"/>
                <w:sz w:val="18"/>
              </w:rPr>
              <w:t>Min Price</w:t>
            </w:r>
          </w:p>
        </w:tc>
        <w:tc>
          <w:tcPr>
            <w:shd w:val="clear" w:color="auto" w:fill="D6E4F0"/>
            <w:tcBorders>
              <w:top w:val="single" w:sz="4" w:space="0" w:color="BBBBBB"/>
              <w:left w:val="single" w:sz="4" w:space="0" w:color="BBBBBB"/>
              <w:bottom w:val="single" w:sz="4" w:space="0" w:color="BBBBBB"/>
              <w:right w:val="single" w:sz="4" w:space="0" w:color="BBBBBB"/>
            </w:tcBorders>
            <w:tcW w:w="2267" w:type="dxa"/>
          </w:tcPr>
          <w:p>
            <w:pPr>
              <w:spacing w:before="40" w:after="40"/>
              <w:jc w:val="left"/>
            </w:pPr>
            <w:r/>
            <w:r>
              <w:rPr>
                <w:rFonts w:ascii="Calibri" w:hAnsi="Calibri"/>
                <w:b w:val="0"/>
                <w:i w:val="0"/>
                <w:color w:val="000000"/>
                <w:sz w:val="18"/>
              </w:rPr>
              <w:t>close</w:t>
            </w:r>
          </w:p>
        </w:tc>
        <w:tc>
          <w:tcPr>
            <w:shd w:val="clear" w:color="auto" w:fill="D6E4F0"/>
            <w:tcBorders>
              <w:top w:val="single" w:sz="4" w:space="0" w:color="BBBBBB"/>
              <w:left w:val="single" w:sz="4" w:space="0" w:color="BBBBBB"/>
              <w:bottom w:val="single" w:sz="4" w:space="0" w:color="BBBBBB"/>
              <w:right w:val="single" w:sz="4" w:space="0" w:color="BBBBBB"/>
            </w:tcBorders>
            <w:tcW w:w="5952" w:type="dxa"/>
          </w:tcPr>
          <w:p>
            <w:pPr>
              <w:spacing w:before="40" w:after="40"/>
              <w:jc w:val="left"/>
            </w:pPr>
            <w:r/>
            <w:r>
              <w:rPr>
                <w:rFonts w:ascii="Calibri" w:hAnsi="Calibri"/>
                <w:b w:val="0"/>
                <w:i w:val="0"/>
                <w:color w:val="000000"/>
                <w:sz w:val="18"/>
              </w:rPr>
              <w:t>close &gt;= min_price threshold (default $5).</w:t>
            </w:r>
          </w:p>
        </w:tc>
      </w:tr>
    </w:tbl>
    <w:p/>
    <w:p>
      <w:pPr>
        <w:spacing w:before="200" w:after="60"/>
      </w:pPr>
      <w:r>
        <w:rPr>
          <w:rFonts w:ascii="Calibri" w:hAnsi="Calibri"/>
          <w:b/>
          <w:color w:val="1F497D"/>
          <w:sz w:val="22"/>
        </w:rPr>
        <w:t>Displayed Columns</w:t>
      </w:r>
    </w:p>
    <w:tbl>
      <w:tblPr>
        <w:tblStyle w:val="TableGrid"/>
        <w:tblW w:type="auto" w:w="0"/>
        <w:jc w:val="left"/>
        <w:tblLook w:firstColumn="1" w:firstRow="1" w:lastColumn="0" w:lastRow="0" w:noHBand="0" w:noVBand="1" w:val="04A0"/>
      </w:tblPr>
      <w:tblGrid>
        <w:gridCol w:w="1984"/>
        <w:gridCol w:w="2551"/>
        <w:gridCol w:w="5385"/>
      </w:tblGrid>
      <w:tr>
        <w:tc>
          <w:tcPr>
            <w:shd w:val="clear" w:color="auto" w:fill="1F497D"/>
            <w:tcBorders>
              <w:top w:val="single" w:sz="4" w:space="0" w:color="1F497D"/>
              <w:left w:val="single" w:sz="4" w:space="0" w:color="1F497D"/>
              <w:bottom w:val="single" w:sz="4" w:space="0" w:color="1F497D"/>
              <w:right w:val="single" w:sz="4" w:space="0" w:color="1F497D"/>
            </w:tcBorders>
            <w:tcW w:w="1984" w:type="dxa"/>
          </w:tcPr>
          <w:p>
            <w:pPr>
              <w:spacing w:before="40" w:after="40"/>
              <w:jc w:val="center"/>
            </w:pPr>
            <w:r/>
            <w:r>
              <w:rPr>
                <w:rFonts w:ascii="Calibri" w:hAnsi="Calibri"/>
                <w:b/>
                <w:i w:val="0"/>
                <w:color w:val="FFFFFF"/>
                <w:sz w:val="18"/>
              </w:rPr>
              <w:t>Column</w:t>
            </w:r>
          </w:p>
        </w:tc>
        <w:tc>
          <w:tcPr>
            <w:shd w:val="clear" w:color="auto" w:fill="1F497D"/>
            <w:tcBorders>
              <w:top w:val="single" w:sz="4" w:space="0" w:color="1F497D"/>
              <w:left w:val="single" w:sz="4" w:space="0" w:color="1F497D"/>
              <w:bottom w:val="single" w:sz="4" w:space="0" w:color="1F497D"/>
              <w:right w:val="single" w:sz="4" w:space="0" w:color="1F497D"/>
            </w:tcBorders>
            <w:tcW w:w="2551" w:type="dxa"/>
          </w:tcPr>
          <w:p>
            <w:pPr>
              <w:spacing w:before="40" w:after="40"/>
              <w:jc w:val="center"/>
            </w:pPr>
            <w:r/>
            <w:r>
              <w:rPr>
                <w:rFonts w:ascii="Calibri" w:hAnsi="Calibri"/>
                <w:b/>
                <w:i w:val="0"/>
                <w:color w:val="FFFFFF"/>
                <w:sz w:val="18"/>
              </w:rPr>
              <w:t>Source</w:t>
            </w:r>
          </w:p>
        </w:tc>
        <w:tc>
          <w:tcPr>
            <w:shd w:val="clear" w:color="auto" w:fill="1F497D"/>
            <w:tcBorders>
              <w:top w:val="single" w:sz="4" w:space="0" w:color="1F497D"/>
              <w:left w:val="single" w:sz="4" w:space="0" w:color="1F497D"/>
              <w:bottom w:val="single" w:sz="4" w:space="0" w:color="1F497D"/>
              <w:right w:val="single" w:sz="4" w:space="0" w:color="1F497D"/>
            </w:tcBorders>
            <w:tcW w:w="5385" w:type="dxa"/>
          </w:tcPr>
          <w:p>
            <w:pPr>
              <w:spacing w:before="40" w:after="40"/>
              <w:jc w:val="center"/>
            </w:pPr>
            <w:r/>
            <w:r>
              <w:rPr>
                <w:rFonts w:ascii="Calibri" w:hAnsi="Calibri"/>
                <w:b/>
                <w:i w:val="0"/>
                <w:color w:val="FFFFFF"/>
                <w:sz w:val="18"/>
              </w:rPr>
              <w:t>Calculation / Notes</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Symbol</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symbol</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Direct from snapshot.</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Joined from universe DB.</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Signal</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sig_entry / sig_reentry / sig_add / sig_tp / sig_sl</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Badge built from whichever signal flags are 1 on this row.</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Price</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close</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Current week closing price.</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Dist FVB33%</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_dist_upper_pct</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(Close - fvb_upper_thresh) / fvb_upper_thresh x 100. Negative = below band.</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Upside to TP</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_upside_to_tp_pct</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(tpx1 - Close) / Close x 100</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FVB33</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_fvb33_label</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Bullish / Bearish based on fvb_band_green.</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Monthly BX</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_bx_monthly_label</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Bullish / Bearish based on bx_monthly_completed sign.</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Mo/Wk BX</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_bx_mo_wk</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Combined monthly + weekly BX label.</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Cycle</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cycle_bull, cycle_months, cycle_pct</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Icon + months elapsed + % gain since current cycle started.</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Win Rate</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bt_win_rate</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 of historical trades with pct_gain &gt; 0.</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Profit Factor</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bt_profit_factor</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sum(winning pcts) / abs(sum(losing pcts)).</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Geo Return</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bt_geo_return</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Compounded return across all historical trades.</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 Trades</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bt_trades</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Count of completed trades in full history.</w:t>
            </w:r>
          </w:p>
        </w:tc>
      </w:tr>
    </w:tbl>
    <w:p/>
    <w:p>
      <w:pPr>
        <w:spacing w:before="320" w:after="100"/>
        <w:pBdr>
          <w:bottom w:val="single" w:sz="6" w:space="1" w:color="1F497D"/>
        </w:pBdr>
      </w:pPr>
      <w:r>
        <w:rPr>
          <w:rFonts w:ascii="Calibri" w:hAnsi="Calibri"/>
          <w:b/>
          <w:color w:val="1F497D"/>
          <w:sz w:val="30"/>
        </w:rPr>
        <w:t>4.  Tab 2 — In Position</w:t>
      </w:r>
    </w:p>
    <w:p>
      <w:pPr>
        <w:spacing w:before="40" w:after="100"/>
      </w:pPr>
      <w:r>
        <w:rPr>
          <w:rFonts w:ascii="Calibri" w:hAnsi="Calibri"/>
          <w:i w:val="0"/>
          <w:color w:val="222222"/>
          <w:sz w:val="20"/>
        </w:rPr>
        <w:t>Filters snapshot to sig_in_position == 1. Shows all currently held positions with live unrealised P&amp;L.</w:t>
      </w:r>
    </w:p>
    <w:p>
      <w:pPr>
        <w:spacing w:before="80" w:after="160"/>
        <w:ind w:left="288" w:right="288"/>
        <w:shd w:val="clear" w:color="auto" w:fill="FFF9C4"/>
      </w:pPr>
      <w:r>
        <w:rPr>
          <w:rFonts w:ascii="Calibri" w:hAnsi="Calibri"/>
          <w:i/>
          <w:color w:val="333300"/>
          <w:sz w:val="19"/>
        </w:rPr>
        <w:t>Summary bar: total positions, count profitable (unrealised &gt; 0), average unrealised %, and best performing position.</w:t>
      </w:r>
    </w:p>
    <w:p>
      <w:pPr>
        <w:spacing w:before="120" w:after="60"/>
      </w:pPr>
      <w:r>
        <w:rPr>
          <w:rFonts w:ascii="Calibri" w:hAnsi="Calibri"/>
          <w:b/>
          <w:i/>
          <w:color w:val="444444"/>
          <w:sz w:val="18"/>
        </w:rPr>
        <w:t>Displayed Columns</w:t>
      </w:r>
    </w:p>
    <w:tbl>
      <w:tblPr>
        <w:tblStyle w:val="TableGrid"/>
        <w:tblW w:type="auto" w:w="0"/>
        <w:jc w:val="left"/>
        <w:tblLook w:firstColumn="1" w:firstRow="1" w:lastColumn="0" w:lastRow="0" w:noHBand="0" w:noVBand="1" w:val="04A0"/>
      </w:tblPr>
      <w:tblGrid>
        <w:gridCol w:w="1984"/>
        <w:gridCol w:w="2551"/>
        <w:gridCol w:w="5385"/>
      </w:tblGrid>
      <w:tr>
        <w:tc>
          <w:tcPr>
            <w:shd w:val="clear" w:color="auto" w:fill="1F497D"/>
            <w:tcBorders>
              <w:top w:val="single" w:sz="4" w:space="0" w:color="1F497D"/>
              <w:left w:val="single" w:sz="4" w:space="0" w:color="1F497D"/>
              <w:bottom w:val="single" w:sz="4" w:space="0" w:color="1F497D"/>
              <w:right w:val="single" w:sz="4" w:space="0" w:color="1F497D"/>
            </w:tcBorders>
            <w:tcW w:w="1984" w:type="dxa"/>
          </w:tcPr>
          <w:p>
            <w:pPr>
              <w:spacing w:before="40" w:after="40"/>
              <w:jc w:val="center"/>
            </w:pPr>
            <w:r/>
            <w:r>
              <w:rPr>
                <w:rFonts w:ascii="Calibri" w:hAnsi="Calibri"/>
                <w:b/>
                <w:i w:val="0"/>
                <w:color w:val="FFFFFF"/>
                <w:sz w:val="18"/>
              </w:rPr>
              <w:t>Column</w:t>
            </w:r>
          </w:p>
        </w:tc>
        <w:tc>
          <w:tcPr>
            <w:shd w:val="clear" w:color="auto" w:fill="1F497D"/>
            <w:tcBorders>
              <w:top w:val="single" w:sz="4" w:space="0" w:color="1F497D"/>
              <w:left w:val="single" w:sz="4" w:space="0" w:color="1F497D"/>
              <w:bottom w:val="single" w:sz="4" w:space="0" w:color="1F497D"/>
              <w:right w:val="single" w:sz="4" w:space="0" w:color="1F497D"/>
            </w:tcBorders>
            <w:tcW w:w="2551" w:type="dxa"/>
          </w:tcPr>
          <w:p>
            <w:pPr>
              <w:spacing w:before="40" w:after="40"/>
              <w:jc w:val="center"/>
            </w:pPr>
            <w:r/>
            <w:r>
              <w:rPr>
                <w:rFonts w:ascii="Calibri" w:hAnsi="Calibri"/>
                <w:b/>
                <w:i w:val="0"/>
                <w:color w:val="FFFFFF"/>
                <w:sz w:val="18"/>
              </w:rPr>
              <w:t>Source</w:t>
            </w:r>
          </w:p>
        </w:tc>
        <w:tc>
          <w:tcPr>
            <w:shd w:val="clear" w:color="auto" w:fill="1F497D"/>
            <w:tcBorders>
              <w:top w:val="single" w:sz="4" w:space="0" w:color="1F497D"/>
              <w:left w:val="single" w:sz="4" w:space="0" w:color="1F497D"/>
              <w:bottom w:val="single" w:sz="4" w:space="0" w:color="1F497D"/>
              <w:right w:val="single" w:sz="4" w:space="0" w:color="1F497D"/>
            </w:tcBorders>
            <w:tcW w:w="5385" w:type="dxa"/>
          </w:tcPr>
          <w:p>
            <w:pPr>
              <w:spacing w:before="40" w:after="40"/>
              <w:jc w:val="center"/>
            </w:pPr>
            <w:r/>
            <w:r>
              <w:rPr>
                <w:rFonts w:ascii="Calibri" w:hAnsi="Calibri"/>
                <w:b/>
                <w:i w:val="0"/>
                <w:color w:val="FFFFFF"/>
                <w:sz w:val="18"/>
              </w:rPr>
              <w:t>Calculation / Notes</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Symbol</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symbol</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Direct.</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Universe DB join.</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Price</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close</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Current week closing price.</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Entry Price</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sig_entry_price</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Close on the week the trade was opened; carried forward each week while in position.</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Unrealised</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_unrealised_pct</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(Close - sig_entry_price) / sig_entry_price x 100</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TPX1</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tpx1</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The weekly TP target price — SMA(OHLC4,20) + 4.3 x EMA(TrueRange,66).</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Upside to TP</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_upside_to_tp_pct</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(tpx1 - Close) / Close x 100</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FVB33</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_fvb33_label</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Bullish / Bearish.</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Monthly BX</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_bx_monthly_label</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Bullish / Bearish.</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Mo/Wk BX</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_bx_mo_wk</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Bull/Bull, Bull/Bear, etc.</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Cycle</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cycle_bull, cycle_months, cycle_pct</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Bull/bear status + duration + gain since cycle started.</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Win Rate</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bt_win_rate</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Historical win rate for this ticker.</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Profit Factor</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bt_profit_factor</w:t>
            </w:r>
          </w:p>
        </w:tc>
        <w:tc>
          <w:tcPr>
            <w:shd w:val="clear" w:color="auto" w:fill="D6E4F0"/>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Historical profit factor.</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Wks In Trade</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bt_weeks_in_trade</w:t>
            </w:r>
          </w:p>
        </w:tc>
        <w:tc>
          <w:tcPr>
            <w:shd w:val="clear" w:color="auto" w:fill="FFFFFF"/>
            <w:tcBorders>
              <w:top w:val="single" w:sz="4" w:space="0" w:color="BBBBBB"/>
              <w:left w:val="single" w:sz="4" w:space="0" w:color="BBBBBB"/>
              <w:bottom w:val="single" w:sz="4" w:space="0" w:color="BBBBBB"/>
              <w:right w:val="single" w:sz="4" w:space="0" w:color="BBBBBB"/>
            </w:tcBorders>
            <w:tcW w:w="5385" w:type="dxa"/>
          </w:tcPr>
          <w:p>
            <w:pPr>
              <w:spacing w:before="40" w:after="40"/>
              <w:jc w:val="left"/>
            </w:pPr>
            <w:r/>
            <w:r>
              <w:rPr>
                <w:rFonts w:ascii="Calibri" w:hAnsi="Calibri"/>
                <w:b w:val="0"/>
                <w:i w:val="0"/>
                <w:color w:val="000000"/>
                <w:sz w:val="18"/>
              </w:rPr>
              <w:t>Total weeks sig_in_position==1 across ALL history — not just the current trade.</w:t>
            </w:r>
          </w:p>
        </w:tc>
      </w:tr>
    </w:tbl>
    <w:p/>
    <w:p>
      <w:pPr>
        <w:spacing w:before="320" w:after="100"/>
        <w:pBdr>
          <w:bottom w:val="single" w:sz="6" w:space="1" w:color="1F497D"/>
        </w:pBdr>
      </w:pPr>
      <w:r>
        <w:rPr>
          <w:rFonts w:ascii="Calibri" w:hAnsi="Calibri"/>
          <w:b/>
          <w:color w:val="1F497D"/>
          <w:sz w:val="30"/>
        </w:rPr>
        <w:t>5.  Tab 3 — Leaderboard</w:t>
      </w:r>
    </w:p>
    <w:p>
      <w:pPr>
        <w:spacing w:before="40" w:after="100"/>
      </w:pPr>
      <w:r>
        <w:rPr>
          <w:rFonts w:ascii="Calibri" w:hAnsi="Calibri"/>
          <w:i w:val="0"/>
          <w:color w:val="222222"/>
          <w:sz w:val="20"/>
        </w:rPr>
        <w:t>Ranks all symbols by backtest performance. All stats come from bt_* columns pre-computed by signals.py and broadcast to every row of the symbol in the Delta weekly table.</w:t>
      </w:r>
    </w:p>
    <w:p>
      <w:pPr>
        <w:spacing w:before="200" w:after="60"/>
      </w:pPr>
      <w:r>
        <w:rPr>
          <w:rFonts w:ascii="Calibri" w:hAnsi="Calibri"/>
          <w:b/>
          <w:color w:val="1F497D"/>
          <w:sz w:val="22"/>
        </w:rPr>
        <w:t>Filter Controls</w:t>
      </w:r>
    </w:p>
    <w:tbl>
      <w:tblPr>
        <w:tblStyle w:val="TableGrid"/>
        <w:tblW w:type="auto" w:w="0"/>
        <w:jc w:val="left"/>
        <w:tblLook w:firstColumn="1" w:firstRow="1" w:lastColumn="0" w:lastRow="0" w:noHBand="0" w:noVBand="1" w:val="04A0"/>
      </w:tblPr>
      <w:tblGrid>
        <w:gridCol w:w="2551"/>
        <w:gridCol w:w="2551"/>
        <w:gridCol w:w="4818"/>
      </w:tblGrid>
      <w:tr>
        <w:tc>
          <w:tcPr>
            <w:shd w:val="clear" w:color="auto" w:fill="1F497D"/>
            <w:tcBorders>
              <w:top w:val="single" w:sz="4" w:space="0" w:color="1F497D"/>
              <w:left w:val="single" w:sz="4" w:space="0" w:color="1F497D"/>
              <w:bottom w:val="single" w:sz="4" w:space="0" w:color="1F497D"/>
              <w:right w:val="single" w:sz="4" w:space="0" w:color="1F497D"/>
            </w:tcBorders>
            <w:tcW w:w="2551" w:type="dxa"/>
          </w:tcPr>
          <w:p>
            <w:pPr>
              <w:spacing w:before="40" w:after="40"/>
              <w:jc w:val="center"/>
            </w:pPr>
            <w:r/>
            <w:r>
              <w:rPr>
                <w:rFonts w:ascii="Calibri" w:hAnsi="Calibri"/>
                <w:b/>
                <w:i w:val="0"/>
                <w:color w:val="FFFFFF"/>
                <w:sz w:val="18"/>
              </w:rPr>
              <w:t>Control</w:t>
            </w:r>
          </w:p>
        </w:tc>
        <w:tc>
          <w:tcPr>
            <w:shd w:val="clear" w:color="auto" w:fill="1F497D"/>
            <w:tcBorders>
              <w:top w:val="single" w:sz="4" w:space="0" w:color="1F497D"/>
              <w:left w:val="single" w:sz="4" w:space="0" w:color="1F497D"/>
              <w:bottom w:val="single" w:sz="4" w:space="0" w:color="1F497D"/>
              <w:right w:val="single" w:sz="4" w:space="0" w:color="1F497D"/>
            </w:tcBorders>
            <w:tcW w:w="2551" w:type="dxa"/>
          </w:tcPr>
          <w:p>
            <w:pPr>
              <w:spacing w:before="40" w:after="40"/>
              <w:jc w:val="center"/>
            </w:pPr>
            <w:r/>
            <w:r>
              <w:rPr>
                <w:rFonts w:ascii="Calibri" w:hAnsi="Calibri"/>
                <w:b/>
                <w:i w:val="0"/>
                <w:color w:val="FFFFFF"/>
                <w:sz w:val="18"/>
              </w:rPr>
              <w:t>Column</w:t>
            </w:r>
          </w:p>
        </w:tc>
        <w:tc>
          <w:tcPr>
            <w:shd w:val="clear" w:color="auto" w:fill="1F497D"/>
            <w:tcBorders>
              <w:top w:val="single" w:sz="4" w:space="0" w:color="1F497D"/>
              <w:left w:val="single" w:sz="4" w:space="0" w:color="1F497D"/>
              <w:bottom w:val="single" w:sz="4" w:space="0" w:color="1F497D"/>
              <w:right w:val="single" w:sz="4" w:space="0" w:color="1F497D"/>
            </w:tcBorders>
            <w:tcW w:w="4818" w:type="dxa"/>
          </w:tcPr>
          <w:p>
            <w:pPr>
              <w:spacing w:before="40" w:after="40"/>
              <w:jc w:val="center"/>
            </w:pPr>
            <w:r/>
            <w:r>
              <w:rPr>
                <w:rFonts w:ascii="Calibri" w:hAnsi="Calibri"/>
                <w:b/>
                <w:i w:val="0"/>
                <w:color w:val="FFFFFF"/>
                <w:sz w:val="18"/>
              </w:rPr>
              <w:t>Default</w:t>
            </w:r>
          </w:p>
        </w:tc>
      </w:tr>
      <w:tr>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ourier New" w:hAnsi="Courier New"/>
                <w:b/>
                <w:i w:val="0"/>
                <w:color w:val="1A1A2E"/>
                <w:sz w:val="18"/>
              </w:rPr>
              <w:t>Min Trades</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bt_trades</w:t>
            </w:r>
          </w:p>
        </w:tc>
        <w:tc>
          <w:tcPr>
            <w:shd w:val="clear" w:color="auto" w:fill="D6E4F0"/>
            <w:tcBorders>
              <w:top w:val="single" w:sz="4" w:space="0" w:color="BBBBBB"/>
              <w:left w:val="single" w:sz="4" w:space="0" w:color="BBBBBB"/>
              <w:bottom w:val="single" w:sz="4" w:space="0" w:color="BBBBBB"/>
              <w:right w:val="single" w:sz="4" w:space="0" w:color="BBBBBB"/>
            </w:tcBorders>
            <w:tcW w:w="4818" w:type="dxa"/>
          </w:tcPr>
          <w:p>
            <w:pPr>
              <w:spacing w:before="40" w:after="40"/>
              <w:jc w:val="left"/>
            </w:pPr>
            <w:r/>
            <w:r>
              <w:rPr>
                <w:rFonts w:ascii="Calibri" w:hAnsi="Calibri"/>
                <w:b w:val="0"/>
                <w:i w:val="0"/>
                <w:color w:val="000000"/>
                <w:sz w:val="18"/>
              </w:rPr>
              <w:t>5</w:t>
            </w:r>
          </w:p>
        </w:tc>
      </w:tr>
      <w:tr>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ourier New" w:hAnsi="Courier New"/>
                <w:b/>
                <w:i w:val="0"/>
                <w:color w:val="1A1A2E"/>
                <w:sz w:val="18"/>
              </w:rPr>
              <w:t>Min Win Rate %</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bt_win_rate</w:t>
            </w:r>
          </w:p>
        </w:tc>
        <w:tc>
          <w:tcPr>
            <w:shd w:val="clear" w:color="auto" w:fill="FFFFFF"/>
            <w:tcBorders>
              <w:top w:val="single" w:sz="4" w:space="0" w:color="BBBBBB"/>
              <w:left w:val="single" w:sz="4" w:space="0" w:color="BBBBBB"/>
              <w:bottom w:val="single" w:sz="4" w:space="0" w:color="BBBBBB"/>
              <w:right w:val="single" w:sz="4" w:space="0" w:color="BBBBBB"/>
            </w:tcBorders>
            <w:tcW w:w="4818" w:type="dxa"/>
          </w:tcPr>
          <w:p>
            <w:pPr>
              <w:spacing w:before="40" w:after="40"/>
              <w:jc w:val="left"/>
            </w:pPr>
            <w:r/>
            <w:r>
              <w:rPr>
                <w:rFonts w:ascii="Calibri" w:hAnsi="Calibri"/>
                <w:b w:val="0"/>
                <w:i w:val="0"/>
                <w:color w:val="000000"/>
                <w:sz w:val="18"/>
              </w:rPr>
              <w:t>0%</w:t>
            </w:r>
          </w:p>
        </w:tc>
      </w:tr>
      <w:tr>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ourier New" w:hAnsi="Courier New"/>
                <w:b/>
                <w:i w:val="0"/>
                <w:color w:val="1A1A2E"/>
                <w:sz w:val="18"/>
              </w:rPr>
              <w:t>Min Profit Factor</w:t>
            </w:r>
          </w:p>
        </w:tc>
        <w:tc>
          <w:tcPr>
            <w:shd w:val="clear" w:color="auto" w:fill="D6E4F0"/>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bt_profit_factor</w:t>
            </w:r>
          </w:p>
        </w:tc>
        <w:tc>
          <w:tcPr>
            <w:shd w:val="clear" w:color="auto" w:fill="D6E4F0"/>
            <w:tcBorders>
              <w:top w:val="single" w:sz="4" w:space="0" w:color="BBBBBB"/>
              <w:left w:val="single" w:sz="4" w:space="0" w:color="BBBBBB"/>
              <w:bottom w:val="single" w:sz="4" w:space="0" w:color="BBBBBB"/>
              <w:right w:val="single" w:sz="4" w:space="0" w:color="BBBBBB"/>
            </w:tcBorders>
            <w:tcW w:w="4818" w:type="dxa"/>
          </w:tcPr>
          <w:p>
            <w:pPr>
              <w:spacing w:before="40" w:after="40"/>
              <w:jc w:val="left"/>
            </w:pPr>
            <w:r/>
            <w:r>
              <w:rPr>
                <w:rFonts w:ascii="Calibri" w:hAnsi="Calibri"/>
                <w:b w:val="0"/>
                <w:i w:val="0"/>
                <w:color w:val="000000"/>
                <w:sz w:val="18"/>
              </w:rPr>
              <w:t>1.0</w:t>
            </w:r>
          </w:p>
        </w:tc>
      </w:tr>
      <w:tr>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ourier New" w:hAnsi="Courier New"/>
                <w:b/>
                <w:i w:val="0"/>
                <w:color w:val="1A1A2E"/>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2551" w:type="dxa"/>
          </w:tcPr>
          <w:p>
            <w:pPr>
              <w:spacing w:before="40" w:after="40"/>
              <w:jc w:val="left"/>
            </w:pPr>
            <w:r/>
            <w:r>
              <w:rPr>
                <w:rFonts w:ascii="Calibri" w:hAnsi="Calibri"/>
                <w:b w:val="0"/>
                <w:i w:val="0"/>
                <w:color w:val="000000"/>
                <w:sz w:val="18"/>
              </w:rPr>
              <w:t>sector</w:t>
            </w:r>
          </w:p>
        </w:tc>
        <w:tc>
          <w:tcPr>
            <w:shd w:val="clear" w:color="auto" w:fill="FFFFFF"/>
            <w:tcBorders>
              <w:top w:val="single" w:sz="4" w:space="0" w:color="BBBBBB"/>
              <w:left w:val="single" w:sz="4" w:space="0" w:color="BBBBBB"/>
              <w:bottom w:val="single" w:sz="4" w:space="0" w:color="BBBBBB"/>
              <w:right w:val="single" w:sz="4" w:space="0" w:color="BBBBBB"/>
            </w:tcBorders>
            <w:tcW w:w="4818" w:type="dxa"/>
          </w:tcPr>
          <w:p>
            <w:pPr>
              <w:spacing w:before="40" w:after="40"/>
              <w:jc w:val="left"/>
            </w:pPr>
            <w:r/>
            <w:r>
              <w:rPr>
                <w:rFonts w:ascii="Calibri" w:hAnsi="Calibri"/>
                <w:b w:val="0"/>
                <w:i w:val="0"/>
                <w:color w:val="000000"/>
                <w:sz w:val="18"/>
              </w:rPr>
              <w:t>All</w:t>
            </w:r>
          </w:p>
        </w:tc>
      </w:tr>
    </w:tbl>
    <w:p/>
    <w:p>
      <w:pPr>
        <w:spacing w:before="200" w:after="60"/>
      </w:pPr>
      <w:r>
        <w:rPr>
          <w:rFonts w:ascii="Calibri" w:hAnsi="Calibri"/>
          <w:b/>
          <w:color w:val="1F497D"/>
          <w:sz w:val="22"/>
        </w:rPr>
        <w:t>All Backtest Stat Columns (bt_*)</w:t>
      </w:r>
    </w:p>
    <w:tbl>
      <w:tblPr>
        <w:tblStyle w:val="TableGrid"/>
        <w:tblW w:type="auto" w:w="0"/>
        <w:jc w:val="left"/>
        <w:tblLook w:firstColumn="1" w:firstRow="1" w:lastColumn="0" w:lastRow="0" w:noHBand="0" w:noVBand="1" w:val="04A0"/>
      </w:tblPr>
      <w:tblGrid>
        <w:gridCol w:w="2381"/>
        <w:gridCol w:w="3685"/>
        <w:gridCol w:w="3855"/>
      </w:tblGrid>
      <w:tr>
        <w:tc>
          <w:tcPr>
            <w:shd w:val="clear" w:color="auto" w:fill="1F497D"/>
            <w:tcBorders>
              <w:top w:val="single" w:sz="4" w:space="0" w:color="1F497D"/>
              <w:left w:val="single" w:sz="4" w:space="0" w:color="1F497D"/>
              <w:bottom w:val="single" w:sz="4" w:space="0" w:color="1F497D"/>
              <w:right w:val="single" w:sz="4" w:space="0" w:color="1F497D"/>
            </w:tcBorders>
            <w:tcW w:w="2381" w:type="dxa"/>
          </w:tcPr>
          <w:p>
            <w:pPr>
              <w:spacing w:before="40" w:after="40"/>
              <w:jc w:val="center"/>
            </w:pPr>
            <w:r/>
            <w:r>
              <w:rPr>
                <w:rFonts w:ascii="Calibri" w:hAnsi="Calibri"/>
                <w:b/>
                <w:i w:val="0"/>
                <w:color w:val="FFFFFF"/>
                <w:sz w:val="18"/>
              </w:rPr>
              <w:t>Column</w:t>
            </w:r>
          </w:p>
        </w:tc>
        <w:tc>
          <w:tcPr>
            <w:shd w:val="clear" w:color="auto" w:fill="1F497D"/>
            <w:tcBorders>
              <w:top w:val="single" w:sz="4" w:space="0" w:color="1F497D"/>
              <w:left w:val="single" w:sz="4" w:space="0" w:color="1F497D"/>
              <w:bottom w:val="single" w:sz="4" w:space="0" w:color="1F497D"/>
              <w:right w:val="single" w:sz="4" w:space="0" w:color="1F497D"/>
            </w:tcBorders>
            <w:tcW w:w="3685" w:type="dxa"/>
          </w:tcPr>
          <w:p>
            <w:pPr>
              <w:spacing w:before="40" w:after="40"/>
              <w:jc w:val="center"/>
            </w:pPr>
            <w:r/>
            <w:r>
              <w:rPr>
                <w:rFonts w:ascii="Calibri" w:hAnsi="Calibri"/>
                <w:b/>
                <w:i w:val="0"/>
                <w:color w:val="FFFFFF"/>
                <w:sz w:val="18"/>
              </w:rPr>
              <w:t>Formula</w:t>
            </w:r>
          </w:p>
        </w:tc>
        <w:tc>
          <w:tcPr>
            <w:shd w:val="clear" w:color="auto" w:fill="1F497D"/>
            <w:tcBorders>
              <w:top w:val="single" w:sz="4" w:space="0" w:color="1F497D"/>
              <w:left w:val="single" w:sz="4" w:space="0" w:color="1F497D"/>
              <w:bottom w:val="single" w:sz="4" w:space="0" w:color="1F497D"/>
              <w:right w:val="single" w:sz="4" w:space="0" w:color="1F497D"/>
            </w:tcBorders>
            <w:tcW w:w="3855" w:type="dxa"/>
          </w:tcPr>
          <w:p>
            <w:pPr>
              <w:spacing w:before="40" w:after="40"/>
              <w:jc w:val="center"/>
            </w:pPr>
            <w:r/>
            <w:r>
              <w:rPr>
                <w:rFonts w:ascii="Calibri" w:hAnsi="Calibri"/>
                <w:b/>
                <w:i w:val="0"/>
                <w:color w:val="FFFFFF"/>
                <w:sz w:val="18"/>
              </w:rPr>
              <w:t>Notes</w:t>
            </w:r>
          </w:p>
        </w:tc>
      </w:tr>
      <w:tr>
        <w:tc>
          <w:tcPr>
            <w:shd w:val="clear" w:color="auto" w:fill="D6E4F0"/>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bt_trades</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Count of completed TP + SL exits</w:t>
            </w:r>
          </w:p>
        </w:tc>
        <w:tc>
          <w:tcPr>
            <w:shd w:val="clear" w:color="auto" w:fill="D6E4F0"/>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Open (unfinished) trades are excluded from all stats.</w:t>
            </w:r>
          </w:p>
        </w:tc>
      </w:tr>
      <w:tr>
        <w:tc>
          <w:tcPr>
            <w:shd w:val="clear" w:color="auto" w:fill="FFFFFF"/>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bt_tp_count</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Count of trades where sig_tp fired</w:t>
            </w:r>
          </w:p>
        </w:tc>
        <w:tc>
          <w:tcPr>
            <w:shd w:val="clear" w:color="auto" w:fill="FFFFFF"/>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Trade exited at TPX1 — High &gt;= tpx1.</w:t>
            </w:r>
          </w:p>
        </w:tc>
      </w:tr>
      <w:tr>
        <w:tc>
          <w:tcPr>
            <w:shd w:val="clear" w:color="auto" w:fill="D6E4F0"/>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bt_sl_count</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Count of trades where sig_sl fired</w:t>
            </w:r>
          </w:p>
        </w:tc>
        <w:tc>
          <w:tcPr>
            <w:shd w:val="clear" w:color="auto" w:fill="D6E4F0"/>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Trade exited at Close when bx_monthly_dark_red==1.</w:t>
            </w:r>
          </w:p>
        </w:tc>
      </w:tr>
      <w:tr>
        <w:tc>
          <w:tcPr>
            <w:shd w:val="clear" w:color="auto" w:fill="FFFFFF"/>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bt_reentry_count</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Count of trades entered via sig_reentry</w:t>
            </w:r>
          </w:p>
        </w:tc>
        <w:tc>
          <w:tcPr>
            <w:shd w:val="clear" w:color="auto" w:fill="FFFFFF"/>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Re-entry after a TP exit.</w:t>
            </w:r>
          </w:p>
        </w:tc>
      </w:tr>
      <w:tr>
        <w:tc>
          <w:tcPr>
            <w:shd w:val="clear" w:color="auto" w:fill="D6E4F0"/>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bt_win_rate</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sum(pct_gain &gt; 0) / bt_trades x 100</w:t>
            </w:r>
          </w:p>
        </w:tc>
        <w:tc>
          <w:tcPr>
            <w:shd w:val="clear" w:color="auto" w:fill="D6E4F0"/>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WIN = trade closed in profit, regardless of TP or SL exit type.</w:t>
            </w:r>
          </w:p>
        </w:tc>
      </w:tr>
      <w:tr>
        <w:tc>
          <w:tcPr>
            <w:shd w:val="clear" w:color="auto" w:fill="FFFFFF"/>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bt_avg_tp_pct</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mean(pct_gain) for TP-exit trades</w:t>
            </w:r>
          </w:p>
        </w:tc>
        <w:tc>
          <w:tcPr>
            <w:shd w:val="clear" w:color="auto" w:fill="FFFFFF"/>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TP exit price = tpx1 value on the TP bar.</w:t>
            </w:r>
          </w:p>
        </w:tc>
      </w:tr>
      <w:tr>
        <w:tc>
          <w:tcPr>
            <w:shd w:val="clear" w:color="auto" w:fill="D6E4F0"/>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bt_avg_sl_pct</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mean(pct_gain) for SL-exit trades</w:t>
            </w:r>
          </w:p>
        </w:tc>
        <w:tc>
          <w:tcPr>
            <w:shd w:val="clear" w:color="auto" w:fill="D6E4F0"/>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SL exit price = Close on the SL bar. Usually negative.</w:t>
            </w:r>
          </w:p>
        </w:tc>
      </w:tr>
      <w:tr>
        <w:tc>
          <w:tcPr>
            <w:shd w:val="clear" w:color="auto" w:fill="FFFFFF"/>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bt_profit_factor</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sum(pct &gt; 0) / abs(sum(pct &lt;= 0))</w:t>
            </w:r>
          </w:p>
        </w:tc>
        <w:tc>
          <w:tcPr>
            <w:shd w:val="clear" w:color="auto" w:fill="FFFFFF"/>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Profit-based — not exit-type-based. Higher = better.</w:t>
            </w:r>
          </w:p>
        </w:tc>
      </w:tr>
      <w:tr>
        <w:tc>
          <w:tcPr>
            <w:shd w:val="clear" w:color="auto" w:fill="D6E4F0"/>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bt_geo_return</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(product(1 + pct/100) - 1) x 100</w:t>
            </w:r>
          </w:p>
        </w:tc>
        <w:tc>
          <w:tcPr>
            <w:shd w:val="clear" w:color="auto" w:fill="D6E4F0"/>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e.g. +20% then -10% then +15% = 1.2 x 0.9 x 1.15 = 1.242 = +24.2%</w:t>
            </w:r>
          </w:p>
        </w:tc>
      </w:tr>
      <w:tr>
        <w:tc>
          <w:tcPr>
            <w:shd w:val="clear" w:color="auto" w:fill="FFFFFF"/>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bt_reentry_win_rate</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sum(pct &gt; 0 for re-entries) / bt_reentry_count x 100</w:t>
            </w:r>
          </w:p>
        </w:tc>
        <w:tc>
          <w:tcPr>
            <w:shd w:val="clear" w:color="auto" w:fill="FFFFFF"/>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Win rate specifically for re-entry trades.</w:t>
            </w:r>
          </w:p>
        </w:tc>
      </w:tr>
      <w:tr>
        <w:tc>
          <w:tcPr>
            <w:shd w:val="clear" w:color="auto" w:fill="D6E4F0"/>
            <w:tcBorders>
              <w:top w:val="single" w:sz="4" w:space="0" w:color="BBBBBB"/>
              <w:left w:val="single" w:sz="4" w:space="0" w:color="BBBBBB"/>
              <w:bottom w:val="single" w:sz="4" w:space="0" w:color="BBBBBB"/>
              <w:right w:val="single" w:sz="4" w:space="0" w:color="BBBBBB"/>
            </w:tcBorders>
            <w:tcW w:w="2381" w:type="dxa"/>
          </w:tcPr>
          <w:p>
            <w:pPr>
              <w:spacing w:before="40" w:after="40"/>
              <w:jc w:val="left"/>
            </w:pPr>
            <w:r/>
            <w:r>
              <w:rPr>
                <w:rFonts w:ascii="Courier New" w:hAnsi="Courier New"/>
                <w:b/>
                <w:i w:val="0"/>
                <w:color w:val="1A1A2E"/>
                <w:sz w:val="18"/>
              </w:rPr>
              <w:t>bt_weeks_in_trade</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sum(sig_in_position) across full weekly history</w:t>
            </w:r>
          </w:p>
        </w:tc>
        <w:tc>
          <w:tcPr>
            <w:shd w:val="clear" w:color="auto" w:fill="D6E4F0"/>
            <w:tcBorders>
              <w:top w:val="single" w:sz="4" w:space="0" w:color="BBBBBB"/>
              <w:left w:val="single" w:sz="4" w:space="0" w:color="BBBBBB"/>
              <w:bottom w:val="single" w:sz="4" w:space="0" w:color="BBBBBB"/>
              <w:right w:val="single" w:sz="4" w:space="0" w:color="BBBBBB"/>
            </w:tcBorders>
            <w:tcW w:w="3855" w:type="dxa"/>
          </w:tcPr>
          <w:p>
            <w:pPr>
              <w:spacing w:before="40" w:after="40"/>
              <w:jc w:val="left"/>
            </w:pPr>
            <w:r/>
            <w:r>
              <w:rPr>
                <w:rFonts w:ascii="Calibri" w:hAnsi="Calibri"/>
                <w:b w:val="0"/>
                <w:i w:val="0"/>
                <w:color w:val="000000"/>
                <w:sz w:val="18"/>
              </w:rPr>
              <w:t>Total weeks ever held for this ticker.</w:t>
            </w:r>
          </w:p>
        </w:tc>
      </w:tr>
    </w:tbl>
    <w:p/>
    <w:p>
      <w:pPr>
        <w:spacing w:before="320" w:after="100"/>
        <w:pBdr>
          <w:bottom w:val="single" w:sz="6" w:space="1" w:color="1F497D"/>
        </w:pBdr>
      </w:pPr>
      <w:r>
        <w:rPr>
          <w:rFonts w:ascii="Calibri" w:hAnsi="Calibri"/>
          <w:b/>
          <w:color w:val="1F497D"/>
          <w:sz w:val="30"/>
        </w:rPr>
        <w:t>6.  Tab 4 — Deep Dive</w:t>
      </w:r>
    </w:p>
    <w:p>
      <w:pPr>
        <w:spacing w:before="40" w:after="100"/>
      </w:pPr>
      <w:r>
        <w:rPr>
          <w:rFonts w:ascii="Calibri" w:hAnsi="Calibri"/>
          <w:i w:val="0"/>
          <w:color w:val="222222"/>
          <w:sz w:val="20"/>
        </w:rPr>
        <w:t>Single-symbol analysis. Calls load_symbol_trades(ticker) which re-reads the FULL weekly history (all bars, not just the latest snapshot row) and reconstructs every trade live from the signal columns.</w:t>
      </w:r>
    </w:p>
    <w:p>
      <w:pPr>
        <w:spacing w:before="200" w:after="60"/>
      </w:pPr>
      <w:r>
        <w:rPr>
          <w:rFonts w:ascii="Calibri" w:hAnsi="Calibri"/>
          <w:b/>
          <w:color w:val="1F497D"/>
          <w:sz w:val="22"/>
        </w:rPr>
        <w:t>Trade Reconstruction Logic</w:t>
      </w:r>
    </w:p>
    <w:p>
      <w:pPr>
        <w:spacing w:before="0" w:after="0"/>
        <w:ind w:left="432"/>
        <w:shd w:val="clear" w:color="auto" w:fill="F2F2F2"/>
      </w:pPr>
      <w:r>
        <w:rPr>
          <w:rFonts w:ascii="Courier New" w:hAnsi="Courier New"/>
          <w:color w:val="1A1A2E"/>
          <w:sz w:val="17"/>
        </w:rPr>
        <w:t>For each weekly bar in chronological order:</w:t>
      </w:r>
    </w:p>
    <w:p>
      <w:pPr>
        <w:spacing w:before="0" w:after="0"/>
        <w:ind w:left="432"/>
        <w:shd w:val="clear" w:color="auto" w:fill="F2F2F2"/>
      </w:pPr>
      <w:r>
        <w:rPr>
          <w:rFonts w:ascii="Courier New" w:hAnsi="Courier New"/>
          <w:color w:val="1A1A2E"/>
          <w:sz w:val="17"/>
        </w:rPr>
      </w:r>
    </w:p>
    <w:p>
      <w:pPr>
        <w:spacing w:before="0" w:after="0"/>
        <w:ind w:left="432"/>
        <w:shd w:val="clear" w:color="auto" w:fill="F2F2F2"/>
      </w:pPr>
      <w:r>
        <w:rPr>
          <w:rFonts w:ascii="Courier New" w:hAnsi="Courier New"/>
          <w:color w:val="1A1A2E"/>
          <w:sz w:val="17"/>
        </w:rPr>
        <w:t xml:space="preserve">  IF sig_entry==1 OR sig_reentry==1:</w:t>
      </w:r>
    </w:p>
    <w:p>
      <w:pPr>
        <w:spacing w:before="0" w:after="0"/>
        <w:ind w:left="432"/>
        <w:shd w:val="clear" w:color="auto" w:fill="F2F2F2"/>
      </w:pPr>
      <w:r>
        <w:rPr>
          <w:rFonts w:ascii="Courier New" w:hAnsi="Courier New"/>
          <w:color w:val="1A1A2E"/>
          <w:sz w:val="17"/>
        </w:rPr>
        <w:t xml:space="preserve">      entry_price = Close of that bar</w:t>
      </w:r>
    </w:p>
    <w:p>
      <w:pPr>
        <w:spacing w:before="0" w:after="0"/>
        <w:ind w:left="432"/>
        <w:shd w:val="clear" w:color="auto" w:fill="F2F2F2"/>
      </w:pPr>
      <w:r>
        <w:rPr>
          <w:rFonts w:ascii="Courier New" w:hAnsi="Courier New"/>
          <w:color w:val="1A1A2E"/>
          <w:sz w:val="17"/>
        </w:rPr>
        <w:t xml:space="preserve">      entry_date  = week_start of that bar</w:t>
      </w:r>
    </w:p>
    <w:p>
      <w:pPr>
        <w:spacing w:before="0" w:after="0"/>
        <w:ind w:left="432"/>
        <w:shd w:val="clear" w:color="auto" w:fill="F2F2F2"/>
      </w:pPr>
      <w:r>
        <w:rPr>
          <w:rFonts w:ascii="Courier New" w:hAnsi="Courier New"/>
          <w:color w:val="1A1A2E"/>
          <w:sz w:val="17"/>
        </w:rPr>
      </w:r>
    </w:p>
    <w:p>
      <w:pPr>
        <w:spacing w:before="0" w:after="0"/>
        <w:ind w:left="432"/>
        <w:shd w:val="clear" w:color="auto" w:fill="F2F2F2"/>
      </w:pPr>
      <w:r>
        <w:rPr>
          <w:rFonts w:ascii="Courier New" w:hAnsi="Courier New"/>
          <w:color w:val="1A1A2E"/>
          <w:sz w:val="17"/>
        </w:rPr>
        <w:t xml:space="preserve">  IF sig_tp==1 AND entry_price is set:</w:t>
      </w:r>
    </w:p>
    <w:p>
      <w:pPr>
        <w:spacing w:before="0" w:after="0"/>
        <w:ind w:left="432"/>
        <w:shd w:val="clear" w:color="auto" w:fill="F2F2F2"/>
      </w:pPr>
      <w:r>
        <w:rPr>
          <w:rFonts w:ascii="Courier New" w:hAnsi="Courier New"/>
          <w:color w:val="1A1A2E"/>
          <w:sz w:val="17"/>
        </w:rPr>
        <w:t xml:space="preserve">      exit_price = tpx1 value on that bar</w:t>
      </w:r>
    </w:p>
    <w:p>
      <w:pPr>
        <w:spacing w:before="0" w:after="0"/>
        <w:ind w:left="432"/>
        <w:shd w:val="clear" w:color="auto" w:fill="F2F2F2"/>
      </w:pPr>
      <w:r>
        <w:rPr>
          <w:rFonts w:ascii="Courier New" w:hAnsi="Courier New"/>
          <w:color w:val="1A1A2E"/>
          <w:sz w:val="17"/>
        </w:rPr>
        <w:t xml:space="preserve">      pct_gain   = (tpx1 - entry_price) / entry_price x 100</w:t>
      </w:r>
    </w:p>
    <w:p>
      <w:pPr>
        <w:spacing w:before="0" w:after="0"/>
        <w:ind w:left="432"/>
        <w:shd w:val="clear" w:color="auto" w:fill="F2F2F2"/>
      </w:pPr>
      <w:r>
        <w:rPr>
          <w:rFonts w:ascii="Courier New" w:hAnsi="Courier New"/>
          <w:color w:val="1A1A2E"/>
          <w:sz w:val="17"/>
        </w:rPr>
        <w:t xml:space="preserve">      hold_weeks = (exit_date - entry_date).days / 7</w:t>
      </w:r>
    </w:p>
    <w:p>
      <w:pPr>
        <w:spacing w:before="0" w:after="0"/>
        <w:ind w:left="432"/>
        <w:shd w:val="clear" w:color="auto" w:fill="F2F2F2"/>
      </w:pPr>
      <w:r>
        <w:rPr>
          <w:rFonts w:ascii="Courier New" w:hAnsi="Courier New"/>
          <w:color w:val="1A1A2E"/>
          <w:sz w:val="17"/>
        </w:rPr>
        <w:t xml:space="preserve">      --&gt; record trade, clear entry_price</w:t>
      </w:r>
    </w:p>
    <w:p>
      <w:pPr>
        <w:spacing w:before="0" w:after="0"/>
        <w:ind w:left="432"/>
        <w:shd w:val="clear" w:color="auto" w:fill="F2F2F2"/>
      </w:pPr>
      <w:r>
        <w:rPr>
          <w:rFonts w:ascii="Courier New" w:hAnsi="Courier New"/>
          <w:color w:val="1A1A2E"/>
          <w:sz w:val="17"/>
        </w:rPr>
      </w:r>
    </w:p>
    <w:p>
      <w:pPr>
        <w:spacing w:before="0" w:after="0"/>
        <w:ind w:left="432"/>
        <w:shd w:val="clear" w:color="auto" w:fill="F2F2F2"/>
      </w:pPr>
      <w:r>
        <w:rPr>
          <w:rFonts w:ascii="Courier New" w:hAnsi="Courier New"/>
          <w:color w:val="1A1A2E"/>
          <w:sz w:val="17"/>
        </w:rPr>
        <w:t xml:space="preserve">  IF sig_sl==1 AND entry_price is set:</w:t>
      </w:r>
    </w:p>
    <w:p>
      <w:pPr>
        <w:spacing w:before="0" w:after="0"/>
        <w:ind w:left="432"/>
        <w:shd w:val="clear" w:color="auto" w:fill="F2F2F2"/>
      </w:pPr>
      <w:r>
        <w:rPr>
          <w:rFonts w:ascii="Courier New" w:hAnsi="Courier New"/>
          <w:color w:val="1A1A2E"/>
          <w:sz w:val="17"/>
        </w:rPr>
        <w:t xml:space="preserve">      exit_price = Close of that bar</w:t>
      </w:r>
    </w:p>
    <w:p>
      <w:pPr>
        <w:spacing w:before="0" w:after="0"/>
        <w:ind w:left="432"/>
        <w:shd w:val="clear" w:color="auto" w:fill="F2F2F2"/>
      </w:pPr>
      <w:r>
        <w:rPr>
          <w:rFonts w:ascii="Courier New" w:hAnsi="Courier New"/>
          <w:color w:val="1A1A2E"/>
          <w:sz w:val="17"/>
        </w:rPr>
        <w:t xml:space="preserve">      pct_gain   = (Close - entry_price) / entry_price x 100</w:t>
      </w:r>
    </w:p>
    <w:p>
      <w:pPr>
        <w:spacing w:before="0" w:after="0"/>
        <w:ind w:left="432"/>
        <w:shd w:val="clear" w:color="auto" w:fill="F2F2F2"/>
      </w:pPr>
      <w:r>
        <w:rPr>
          <w:rFonts w:ascii="Courier New" w:hAnsi="Courier New"/>
          <w:color w:val="1A1A2E"/>
          <w:sz w:val="17"/>
        </w:rPr>
        <w:t xml:space="preserve">      hold_weeks = (exit_date - entry_date).days / 7</w:t>
      </w:r>
    </w:p>
    <w:p>
      <w:pPr>
        <w:spacing w:before="0" w:after="0"/>
        <w:ind w:left="432"/>
        <w:shd w:val="clear" w:color="auto" w:fill="F2F2F2"/>
      </w:pPr>
      <w:r>
        <w:rPr>
          <w:rFonts w:ascii="Courier New" w:hAnsi="Courier New"/>
          <w:color w:val="1A1A2E"/>
          <w:sz w:val="17"/>
        </w:rPr>
        <w:t xml:space="preserve">      --&gt; record trade, clear entry_price</w:t>
      </w:r>
    </w:p>
    <w:p/>
    <w:p>
      <w:pPr>
        <w:spacing w:before="200" w:after="60"/>
      </w:pPr>
      <w:r>
        <w:rPr>
          <w:rFonts w:ascii="Calibri" w:hAnsi="Calibri"/>
          <w:b/>
          <w:color w:val="1F497D"/>
          <w:sz w:val="22"/>
        </w:rPr>
        <w:t>Row 1 — Strategy Performance Metrics</w:t>
      </w:r>
    </w:p>
    <w:tbl>
      <w:tblPr>
        <w:tblStyle w:val="TableGrid"/>
        <w:tblW w:type="auto" w:w="0"/>
        <w:jc w:val="left"/>
        <w:tblLook w:firstColumn="1" w:firstRow="1" w:lastColumn="0" w:lastRow="0" w:noHBand="0" w:noVBand="1" w:val="04A0"/>
      </w:tblPr>
      <w:tblGrid>
        <w:gridCol w:w="1984"/>
        <w:gridCol w:w="3685"/>
        <w:gridCol w:w="4251"/>
      </w:tblGrid>
      <w:tr>
        <w:tc>
          <w:tcPr>
            <w:shd w:val="clear" w:color="auto" w:fill="1F497D"/>
            <w:tcBorders>
              <w:top w:val="single" w:sz="4" w:space="0" w:color="1F497D"/>
              <w:left w:val="single" w:sz="4" w:space="0" w:color="1F497D"/>
              <w:bottom w:val="single" w:sz="4" w:space="0" w:color="1F497D"/>
              <w:right w:val="single" w:sz="4" w:space="0" w:color="1F497D"/>
            </w:tcBorders>
            <w:tcW w:w="1984" w:type="dxa"/>
          </w:tcPr>
          <w:p>
            <w:pPr>
              <w:spacing w:before="40" w:after="40"/>
              <w:jc w:val="center"/>
            </w:pPr>
            <w:r/>
            <w:r>
              <w:rPr>
                <w:rFonts w:ascii="Calibri" w:hAnsi="Calibri"/>
                <w:b/>
                <w:i w:val="0"/>
                <w:color w:val="FFFFFF"/>
                <w:sz w:val="18"/>
              </w:rPr>
              <w:t>Metric</w:t>
            </w:r>
          </w:p>
        </w:tc>
        <w:tc>
          <w:tcPr>
            <w:shd w:val="clear" w:color="auto" w:fill="1F497D"/>
            <w:tcBorders>
              <w:top w:val="single" w:sz="4" w:space="0" w:color="1F497D"/>
              <w:left w:val="single" w:sz="4" w:space="0" w:color="1F497D"/>
              <w:bottom w:val="single" w:sz="4" w:space="0" w:color="1F497D"/>
              <w:right w:val="single" w:sz="4" w:space="0" w:color="1F497D"/>
            </w:tcBorders>
            <w:tcW w:w="3685" w:type="dxa"/>
          </w:tcPr>
          <w:p>
            <w:pPr>
              <w:spacing w:before="40" w:after="40"/>
              <w:jc w:val="center"/>
            </w:pPr>
            <w:r/>
            <w:r>
              <w:rPr>
                <w:rFonts w:ascii="Calibri" w:hAnsi="Calibri"/>
                <w:b/>
                <w:i w:val="0"/>
                <w:color w:val="FFFFFF"/>
                <w:sz w:val="18"/>
              </w:rPr>
              <w:t>Formula</w:t>
            </w:r>
          </w:p>
        </w:tc>
        <w:tc>
          <w:tcPr>
            <w:shd w:val="clear" w:color="auto" w:fill="1F497D"/>
            <w:tcBorders>
              <w:top w:val="single" w:sz="4" w:space="0" w:color="1F497D"/>
              <w:left w:val="single" w:sz="4" w:space="0" w:color="1F497D"/>
              <w:bottom w:val="single" w:sz="4" w:space="0" w:color="1F497D"/>
              <w:right w:val="single" w:sz="4" w:space="0" w:color="1F497D"/>
            </w:tcBorders>
            <w:tcW w:w="4251" w:type="dxa"/>
          </w:tcPr>
          <w:p>
            <w:pPr>
              <w:spacing w:before="40" w:after="40"/>
              <w:jc w:val="center"/>
            </w:pPr>
            <w:r/>
            <w:r>
              <w:rPr>
                <w:rFonts w:ascii="Calibri" w:hAnsi="Calibri"/>
                <w:b/>
                <w:i w:val="0"/>
                <w:color w:val="FFFFFF"/>
                <w:sz w:val="18"/>
              </w:rPr>
              <w:t>Notes</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Trades</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len(trades)</w:t>
            </w:r>
          </w:p>
        </w:tc>
        <w:tc>
          <w:tcPr>
            <w:shd w:val="clear" w:color="auto" w:fill="D6E4F0"/>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Count of completed trades (TP + SL exits).</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Accuracy</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sum(pct_gain &gt; 0) / len(trades) x 100</w:t>
            </w:r>
          </w:p>
        </w:tc>
        <w:tc>
          <w:tcPr>
            <w:shd w:val="clear" w:color="auto" w:fill="FFFFFF"/>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 of trades that closed in profit. WIN = pct_gain &gt; 0 regardless of TP or SL.</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Avg TP Gain</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mean(pct_gain) for TP-exit trades only</w:t>
            </w:r>
          </w:p>
        </w:tc>
        <w:tc>
          <w:tcPr>
            <w:shd w:val="clear" w:color="auto" w:fill="D6E4F0"/>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Average % gain when the trade hit TPX1.</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Avg SL Loss</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mean(pct_gain) for SL-exit trades only</w:t>
            </w:r>
          </w:p>
        </w:tc>
        <w:tc>
          <w:tcPr>
            <w:shd w:val="clear" w:color="auto" w:fill="FFFFFF"/>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Average % gain/loss when stopped out. Usually negative.</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Profit Factor</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sum(pct &gt; 0) / abs(sum(pct &lt;= 0))</w:t>
            </w:r>
          </w:p>
        </w:tc>
        <w:tc>
          <w:tcPr>
            <w:shd w:val="clear" w:color="auto" w:fill="D6E4F0"/>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Across ALL trades. &gt; 1.0 means strategy is profitable overall.</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Geo Return</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(product(1 + pct/100) - 1) x 100</w:t>
            </w:r>
          </w:p>
        </w:tc>
        <w:tc>
          <w:tcPr>
            <w:shd w:val="clear" w:color="auto" w:fill="FFFFFF"/>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Compounded return if you followed every signal. Does NOT assume position sizing.</w:t>
            </w:r>
          </w:p>
        </w:tc>
      </w:tr>
    </w:tbl>
    <w:p/>
    <w:p>
      <w:pPr>
        <w:spacing w:before="200" w:after="60"/>
      </w:pPr>
      <w:r>
        <w:rPr>
          <w:rFonts w:ascii="Calibri" w:hAnsi="Calibri"/>
          <w:b/>
          <w:color w:val="1F497D"/>
          <w:sz w:val="22"/>
        </w:rPr>
        <w:t>Row 2 — Risk &amp; Cycle Metrics</w:t>
      </w:r>
    </w:p>
    <w:tbl>
      <w:tblPr>
        <w:tblStyle w:val="TableGrid"/>
        <w:tblW w:type="auto" w:w="0"/>
        <w:jc w:val="left"/>
        <w:tblLook w:firstColumn="1" w:firstRow="1" w:lastColumn="0" w:lastRow="0" w:noHBand="0" w:noVBand="1" w:val="04A0"/>
      </w:tblPr>
      <w:tblGrid>
        <w:gridCol w:w="1984"/>
        <w:gridCol w:w="3685"/>
        <w:gridCol w:w="4251"/>
      </w:tblGrid>
      <w:tr>
        <w:tc>
          <w:tcPr>
            <w:shd w:val="clear" w:color="auto" w:fill="1F497D"/>
            <w:tcBorders>
              <w:top w:val="single" w:sz="4" w:space="0" w:color="1F497D"/>
              <w:left w:val="single" w:sz="4" w:space="0" w:color="1F497D"/>
              <w:bottom w:val="single" w:sz="4" w:space="0" w:color="1F497D"/>
              <w:right w:val="single" w:sz="4" w:space="0" w:color="1F497D"/>
            </w:tcBorders>
            <w:tcW w:w="1984" w:type="dxa"/>
          </w:tcPr>
          <w:p>
            <w:pPr>
              <w:spacing w:before="40" w:after="40"/>
              <w:jc w:val="center"/>
            </w:pPr>
            <w:r/>
            <w:r>
              <w:rPr>
                <w:rFonts w:ascii="Calibri" w:hAnsi="Calibri"/>
                <w:b/>
                <w:i w:val="0"/>
                <w:color w:val="FFFFFF"/>
                <w:sz w:val="18"/>
              </w:rPr>
              <w:t>Metric</w:t>
            </w:r>
          </w:p>
        </w:tc>
        <w:tc>
          <w:tcPr>
            <w:shd w:val="clear" w:color="auto" w:fill="1F497D"/>
            <w:tcBorders>
              <w:top w:val="single" w:sz="4" w:space="0" w:color="1F497D"/>
              <w:left w:val="single" w:sz="4" w:space="0" w:color="1F497D"/>
              <w:bottom w:val="single" w:sz="4" w:space="0" w:color="1F497D"/>
              <w:right w:val="single" w:sz="4" w:space="0" w:color="1F497D"/>
            </w:tcBorders>
            <w:tcW w:w="3685" w:type="dxa"/>
          </w:tcPr>
          <w:p>
            <w:pPr>
              <w:spacing w:before="40" w:after="40"/>
              <w:jc w:val="center"/>
            </w:pPr>
            <w:r/>
            <w:r>
              <w:rPr>
                <w:rFonts w:ascii="Calibri" w:hAnsi="Calibri"/>
                <w:b/>
                <w:i w:val="0"/>
                <w:color w:val="FFFFFF"/>
                <w:sz w:val="18"/>
              </w:rPr>
              <w:t>Formula</w:t>
            </w:r>
          </w:p>
        </w:tc>
        <w:tc>
          <w:tcPr>
            <w:shd w:val="clear" w:color="auto" w:fill="1F497D"/>
            <w:tcBorders>
              <w:top w:val="single" w:sz="4" w:space="0" w:color="1F497D"/>
              <w:left w:val="single" w:sz="4" w:space="0" w:color="1F497D"/>
              <w:bottom w:val="single" w:sz="4" w:space="0" w:color="1F497D"/>
              <w:right w:val="single" w:sz="4" w:space="0" w:color="1F497D"/>
            </w:tcBorders>
            <w:tcW w:w="4251" w:type="dxa"/>
          </w:tcPr>
          <w:p>
            <w:pPr>
              <w:spacing w:before="40" w:after="40"/>
              <w:jc w:val="center"/>
            </w:pPr>
            <w:r/>
            <w:r>
              <w:rPr>
                <w:rFonts w:ascii="Calibri" w:hAnsi="Calibri"/>
                <w:b/>
                <w:i w:val="0"/>
                <w:color w:val="FFFFFF"/>
                <w:sz w:val="18"/>
              </w:rPr>
              <w:t>Notes</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Risk : Reward</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abs(avg_tp_gain / avg_sl_loss) shown as '1 : X.X'</w:t>
            </w:r>
          </w:p>
        </w:tc>
        <w:tc>
          <w:tcPr>
            <w:shd w:val="clear" w:color="auto" w:fill="D6E4F0"/>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e.g. avg TP = +20%, avg SL = -8%  -&gt;  Risk:Reward = 1 : 2.5</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Weeks In Trade</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sum(sig_in_position) across full weekly history</w:t>
            </w:r>
          </w:p>
        </w:tc>
        <w:tc>
          <w:tcPr>
            <w:shd w:val="clear" w:color="auto" w:fill="FFFFFF"/>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Total weeks ever held. Includes current open trade if any.</w:t>
            </w:r>
          </w:p>
        </w:tc>
      </w:tr>
      <w:tr>
        <w:tc>
          <w:tcPr>
            <w:shd w:val="clear" w:color="auto" w:fill="D6E4F0"/>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Avg Hold</w:t>
            </w:r>
          </w:p>
        </w:tc>
        <w:tc>
          <w:tcPr>
            <w:shd w:val="clear" w:color="auto" w:fill="D6E4F0"/>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mean(hold_weeks) across all completed trades</w:t>
            </w:r>
          </w:p>
        </w:tc>
        <w:tc>
          <w:tcPr>
            <w:shd w:val="clear" w:color="auto" w:fill="D6E4F0"/>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Average duration per trade in weeks.</w:t>
            </w:r>
          </w:p>
        </w:tc>
      </w:tr>
      <w:tr>
        <w:tc>
          <w:tcPr>
            <w:shd w:val="clear" w:color="auto" w:fill="FFFFFF"/>
            <w:tcBorders>
              <w:top w:val="single" w:sz="4" w:space="0" w:color="BBBBBB"/>
              <w:left w:val="single" w:sz="4" w:space="0" w:color="BBBBBB"/>
              <w:bottom w:val="single" w:sz="4" w:space="0" w:color="BBBBBB"/>
              <w:right w:val="single" w:sz="4" w:space="0" w:color="BBBBBB"/>
            </w:tcBorders>
            <w:tcW w:w="1984" w:type="dxa"/>
          </w:tcPr>
          <w:p>
            <w:pPr>
              <w:spacing w:before="40" w:after="40"/>
              <w:jc w:val="left"/>
            </w:pPr>
            <w:r/>
            <w:r>
              <w:rPr>
                <w:rFonts w:ascii="Courier New" w:hAnsi="Courier New"/>
                <w:b/>
                <w:i w:val="0"/>
                <w:color w:val="1A1A2E"/>
                <w:sz w:val="18"/>
              </w:rPr>
              <w:t>Avg Bull Pullback</w:t>
            </w:r>
          </w:p>
        </w:tc>
        <w:tc>
          <w:tcPr>
            <w:shd w:val="clear" w:color="auto" w:fill="FFFFFF"/>
            <w:tcBorders>
              <w:top w:val="single" w:sz="4" w:space="0" w:color="BBBBBB"/>
              <w:left w:val="single" w:sz="4" w:space="0" w:color="BBBBBB"/>
              <w:bottom w:val="single" w:sz="4" w:space="0" w:color="BBBBBB"/>
              <w:right w:val="single" w:sz="4" w:space="0" w:color="BBBBBB"/>
            </w:tcBorders>
            <w:tcW w:w="3685" w:type="dxa"/>
          </w:tcPr>
          <w:p>
            <w:pPr>
              <w:spacing w:before="40" w:after="40"/>
              <w:jc w:val="left"/>
            </w:pPr>
            <w:r/>
            <w:r>
              <w:rPr>
                <w:rFonts w:ascii="Calibri" w:hAnsi="Calibri"/>
                <w:b w:val="0"/>
                <w:i w:val="0"/>
                <w:color w:val="000000"/>
                <w:sz w:val="18"/>
              </w:rPr>
              <w:t>cycle_avg_pullback from snapshot</w:t>
            </w:r>
          </w:p>
        </w:tc>
        <w:tc>
          <w:tcPr>
            <w:shd w:val="clear" w:color="auto" w:fill="FFFFFF"/>
            <w:tcBorders>
              <w:top w:val="single" w:sz="4" w:space="0" w:color="BBBBBB"/>
              <w:left w:val="single" w:sz="4" w:space="0" w:color="BBBBBB"/>
              <w:bottom w:val="single" w:sz="4" w:space="0" w:color="BBBBBB"/>
              <w:right w:val="single" w:sz="4" w:space="0" w:color="BBBBBB"/>
            </w:tcBorders>
            <w:tcW w:w="4251" w:type="dxa"/>
          </w:tcPr>
          <w:p>
            <w:pPr>
              <w:spacing w:before="40" w:after="40"/>
              <w:jc w:val="left"/>
            </w:pPr>
            <w:r/>
            <w:r>
              <w:rPr>
                <w:rFonts w:ascii="Calibri" w:hAnsi="Calibri"/>
                <w:b w:val="0"/>
                <w:i w:val="0"/>
                <w:color w:val="000000"/>
                <w:sz w:val="18"/>
              </w:rPr>
              <w:t>Average max drawdown within bull cycles before price recovers. Sourced from cycle stats, not from trade list.</w:t>
            </w:r>
          </w:p>
        </w:tc>
      </w:tr>
    </w:tbl>
    <w:p/>
    <w:p>
      <w:pPr>
        <w:spacing w:before="200" w:after="60"/>
      </w:pPr>
      <w:r>
        <w:rPr>
          <w:rFonts w:ascii="Calibri" w:hAnsi="Calibri"/>
          <w:b/>
          <w:color w:val="1F497D"/>
          <w:sz w:val="22"/>
        </w:rPr>
        <w:t>Current Status Section</w:t>
      </w:r>
    </w:p>
    <w:p>
      <w:pPr>
        <w:spacing w:before="40" w:after="100"/>
      </w:pPr>
      <w:r>
        <w:rPr>
          <w:rFonts w:ascii="Calibri" w:hAnsi="Calibri"/>
          <w:i w:val="0"/>
          <w:color w:val="222222"/>
          <w:sz w:val="20"/>
        </w:rPr>
        <w:t>Pulled from the snapshot row for the selected ticker. Shows: current price, FVB33 state, Monthly BX, Mo/Wk BX combined, and whether currently In Position. If in position, also shows: Entry Price, Unrealised P&amp;L%, and TPX1 target.</w:t>
      </w:r>
    </w:p>
    <w:p>
      <w:pPr>
        <w:spacing w:before="200" w:after="60"/>
      </w:pPr>
      <w:r>
        <w:rPr>
          <w:rFonts w:ascii="Calibri" w:hAnsi="Calibri"/>
          <w:b/>
          <w:color w:val="1F497D"/>
          <w:sz w:val="22"/>
        </w:rPr>
        <w:t>Equity Curve</w:t>
      </w:r>
    </w:p>
    <w:p>
      <w:pPr>
        <w:spacing w:before="40" w:after="100"/>
      </w:pPr>
      <w:r>
        <w:rPr>
          <w:rFonts w:ascii="Calibri" w:hAnsi="Calibri"/>
          <w:i w:val="0"/>
          <w:color w:val="222222"/>
          <w:sz w:val="20"/>
        </w:rPr>
        <w:t>Starts at $100 and compounds each trade sequentially: equity[i+1] = equity[i] x (1 + pct_gain / 100). Visualised as a line chart indexed by trade number.</w:t>
      </w:r>
    </w:p>
    <w:p>
      <w:pPr>
        <w:spacing w:before="200" w:after="60"/>
      </w:pPr>
      <w:r>
        <w:rPr>
          <w:rFonts w:ascii="Calibri" w:hAnsi="Calibri"/>
          <w:b/>
          <w:color w:val="1F497D"/>
          <w:sz w:val="22"/>
        </w:rPr>
        <w:t>Price Chart (last 5 years)</w:t>
      </w:r>
    </w:p>
    <w:p>
      <w:pPr>
        <w:spacing w:before="40" w:after="100"/>
      </w:pPr>
      <w:r>
        <w:rPr>
          <w:rFonts w:ascii="Calibri" w:hAnsi="Calibri"/>
          <w:i w:val="0"/>
          <w:color w:val="222222"/>
          <w:sz w:val="20"/>
        </w:rPr>
        <w:t>Line chart of weekly Close, FVB33 Upper Band (fvb_upper_thresh), FVB33 Lower Band (fvb_lower_thresh), and TPX1 target — all from the full weekly history, filtered to the last 5 years.</w:t>
      </w:r>
    </w:p>
    <w:p>
      <w:pPr>
        <w:spacing w:before="200" w:after="60"/>
      </w:pPr>
      <w:r>
        <w:rPr>
          <w:rFonts w:ascii="Calibri" w:hAnsi="Calibri"/>
          <w:b/>
          <w:color w:val="1F497D"/>
          <w:sz w:val="22"/>
        </w:rPr>
        <w:t>Trade History Table</w:t>
      </w:r>
    </w:p>
    <w:p>
      <w:pPr>
        <w:spacing w:before="40" w:after="100"/>
      </w:pPr>
      <w:r>
        <w:rPr>
          <w:rFonts w:ascii="Calibri" w:hAnsi="Calibri"/>
          <w:i w:val="0"/>
          <w:color w:val="222222"/>
          <w:sz w:val="20"/>
        </w:rPr>
        <w:t>One row per completed trade showing: entry date, exit date, entry type (Entry or Re-Entry), exit type (TP or SL), entry price, exit price, P&amp;L%, and weeks held.</w:t>
      </w:r>
    </w:p>
    <w:p>
      <w:pPr>
        <w:spacing w:before="320" w:after="100"/>
        <w:pBdr>
          <w:bottom w:val="single" w:sz="6" w:space="1" w:color="1F497D"/>
        </w:pBdr>
      </w:pPr>
      <w:r>
        <w:rPr>
          <w:rFonts w:ascii="Calibri" w:hAnsi="Calibri"/>
          <w:b/>
          <w:color w:val="1F497D"/>
          <w:sz w:val="30"/>
        </w:rPr>
        <w:t>7.  Important Notes</w:t>
      </w:r>
    </w:p>
    <w:p>
      <w:pPr>
        <w:pStyle w:val="ListBullet"/>
        <w:spacing w:before="40" w:after="60"/>
      </w:pPr>
      <w:r>
        <w:rPr>
          <w:rFonts w:ascii="Calibri" w:hAnsi="Calibri"/>
          <w:color w:val="222222"/>
          <w:sz w:val="19"/>
        </w:rPr>
        <w:t>Cache: The snapshot is cached for 300 seconds (5 minutes) in Streamlit. If signals were just recomputed, click Data Settings -&gt; Sync Sectors to force st.cache_data.clear() and reload fresh data.</w:t>
      </w:r>
    </w:p>
    <w:p>
      <w:pPr>
        <w:pStyle w:val="ListBullet"/>
        <w:spacing w:before="40" w:after="60"/>
      </w:pPr>
      <w:r>
        <w:rPr>
          <w:rFonts w:ascii="Calibri" w:hAnsi="Calibri"/>
          <w:color w:val="222222"/>
          <w:sz w:val="19"/>
        </w:rPr>
        <w:t>Signal version: signals.py uses SIGNAL_VERSION = '1.3'. Any change to this string triggers a full recompute of all 6,697 symbols on the next run. v1.3 entry condition: bx_monthly_dark_red==0 (green or recovering). Also fixed: indicators.py is_month_end bug that caused partial current-month BX to leak into bx_monthly_completed for the last row of the dataset.</w:t>
      </w:r>
    </w:p>
    <w:p>
      <w:pPr>
        <w:pStyle w:val="ListBullet"/>
        <w:spacing w:before="40" w:after="60"/>
      </w:pPr>
      <w:r>
        <w:rPr>
          <w:rFonts w:ascii="Calibri" w:hAnsi="Calibri"/>
          <w:color w:val="222222"/>
          <w:sz w:val="19"/>
        </w:rPr>
        <w:t>Pipeline run menu: run.py in the project root provides a numbered menu. Option 8 (Force weekly indicators + signals) is the correct choice after any indicator or signal logic change. Option 9 (Vacuum) should be run monthly to reclaim disk space from old Delta table parquet files.</w:t>
      </w:r>
    </w:p>
    <w:p>
      <w:pPr>
        <w:pStyle w:val="ListBullet"/>
        <w:spacing w:before="40" w:after="60"/>
      </w:pPr>
      <w:r>
        <w:rPr>
          <w:rFonts w:ascii="Calibri" w:hAnsi="Calibri"/>
          <w:color w:val="222222"/>
          <w:sz w:val="19"/>
        </w:rPr>
        <w:t>Tab 4 vs Tabs 1-3: Deep Dive recalculates all metrics live from raw signal columns. Tabs 1-3 use pre-computed bt_* snapshot values. They should match — if they differ, the snapshot may be stale.</w:t>
      </w:r>
    </w:p>
    <w:p>
      <w:pPr>
        <w:pStyle w:val="ListBullet"/>
        <w:spacing w:before="40" w:after="60"/>
      </w:pPr>
      <w:r>
        <w:rPr>
          <w:rFonts w:ascii="Calibri" w:hAnsi="Calibri"/>
          <w:color w:val="222222"/>
          <w:sz w:val="19"/>
        </w:rPr>
        <w:t>Win definition (v1.2): A trade is a WIN if pct_gain &gt; 0 (trade closed in profit). This applies regardless of whether exit was TP or SL. An SL exit at +15% counts as a win.</w:t>
      </w:r>
    </w:p>
    <w:p>
      <w:pPr>
        <w:pStyle w:val="ListBullet"/>
        <w:spacing w:before="40" w:after="60"/>
      </w:pPr>
      <w:r>
        <w:rPr>
          <w:rFonts w:ascii="Calibri" w:hAnsi="Calibri"/>
          <w:color w:val="222222"/>
          <w:sz w:val="19"/>
        </w:rPr>
        <w:t>Open trades are excluded from all bt_* backtest statistics. Only completed (exited) trades contribute to win rate, profit factor, geo return, etc.</w:t>
      </w:r>
    </w:p>
    <w:p>
      <w:pPr>
        <w:pStyle w:val="ListBullet"/>
        <w:spacing w:before="40" w:after="60"/>
      </w:pPr>
      <w:r>
        <w:rPr>
          <w:rFonts w:ascii="Calibri" w:hAnsi="Calibri"/>
          <w:color w:val="222222"/>
          <w:sz w:val="19"/>
        </w:rPr>
        <w:t>Sector data: 93.8% of 6,698 tickers have sector data (sourced from NASDAQ screener bulk download). The remaining 6.2% are SPACs, warrants, and rights offerings that have no sector classification.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8"/>
      </w:rPr>
      <w:t xml:space="preserve">Page </w:t>
    </w:r>
    <w:r>
      <w:rPr>
        <w:rFonts w:ascii="Calibri" w:hAnsi="Calibri"/>
        <w:color w:val="777777"/>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