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12FBC" w14:textId="044F9AD2" w:rsidR="000C4987" w:rsidRPr="000C4987" w:rsidRDefault="00A03AC1" w:rsidP="008531E5">
      <w:pPr>
        <w:spacing w:before="120"/>
        <w:jc w:val="center"/>
        <w:rPr>
          <w:rFonts w:ascii="Cambria" w:hAnsi="Cambria"/>
          <w:color w:val="000000" w:themeColor="text1"/>
          <w:sz w:val="40"/>
          <w:szCs w:val="40"/>
        </w:rPr>
      </w:pPr>
      <w:r w:rsidRPr="000C4987">
        <w:rPr>
          <w:rFonts w:ascii="Cambria" w:eastAsia="Times New Roman" w:hAnsi="Cambria"/>
          <w:b/>
          <w:bCs/>
          <w:noProof/>
          <w:color w:val="0C1B44"/>
          <w:sz w:val="40"/>
          <w:szCs w:val="40"/>
          <w14:ligatures w14:val="standardContextual"/>
        </w:rPr>
        <mc:AlternateContent>
          <mc:Choice Requires="wps">
            <w:drawing>
              <wp:anchor distT="0" distB="0" distL="114300" distR="114300" simplePos="0" relativeHeight="251669504" behindDoc="0" locked="0" layoutInCell="1" allowOverlap="1" wp14:anchorId="1DA03BD7" wp14:editId="4E01DD2B">
                <wp:simplePos x="0" y="0"/>
                <wp:positionH relativeFrom="column">
                  <wp:posOffset>-132460</wp:posOffset>
                </wp:positionH>
                <wp:positionV relativeFrom="paragraph">
                  <wp:posOffset>438227</wp:posOffset>
                </wp:positionV>
                <wp:extent cx="7152830" cy="0"/>
                <wp:effectExtent l="0" t="12700" r="22860" b="12700"/>
                <wp:wrapNone/>
                <wp:docPr id="930817758" name="Straight Connector 1"/>
                <wp:cNvGraphicFramePr/>
                <a:graphic xmlns:a="http://schemas.openxmlformats.org/drawingml/2006/main">
                  <a:graphicData uri="http://schemas.microsoft.com/office/word/2010/wordprocessingShape">
                    <wps:wsp>
                      <wps:cNvCnPr/>
                      <wps:spPr>
                        <a:xfrm>
                          <a:off x="0" y="0"/>
                          <a:ext cx="7152830" cy="0"/>
                        </a:xfrm>
                        <a:prstGeom prst="line">
                          <a:avLst/>
                        </a:prstGeom>
                        <a:ln w="254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D33F09A"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5pt,34.5pt" to="552.75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" strokecolor="black [3213]" strokeweight="2pt">
                <v:stroke joinstyle="miter"/>
              </v:line>
            </w:pict>
          </mc:Fallback>
        </mc:AlternateContent>
      </w:r>
      <w:r w:rsidRPr="000C4987">
        <w:rPr>
          <w:rFonts w:ascii="Cambria" w:eastAsia="Times New Roman" w:hAnsi="Cambria"/>
          <w:b/>
          <w:bCs/>
          <w:color w:val="0C1B44"/>
          <w:sz w:val="40"/>
          <w:szCs w:val="40"/>
        </w:rPr>
        <w:t>Ind</w:t>
      </w:r>
      <w:r w:rsidRPr="00A03AC1">
        <w:rPr>
          <w:rFonts w:ascii="Cambria" w:eastAsia="Times New Roman" w:hAnsi="Cambria"/>
          <w:b/>
          <w:bCs/>
          <w:color w:val="0C1B44"/>
          <w:sz w:val="40"/>
          <w:szCs w:val="40"/>
        </w:rPr>
        <w:t xml:space="preserve">ustry Overview – </w:t>
      </w:r>
      <w:r w:rsidR="006310D8">
        <w:rPr>
          <w:rFonts w:ascii="Cambria" w:eastAsia="Times New Roman" w:hAnsi="Cambria"/>
          <w:b/>
          <w:bCs/>
          <w:color w:val="0C1B44"/>
          <w:sz w:val="40"/>
          <w:szCs w:val="40"/>
        </w:rPr>
        <w:t>Home Healthcare Services</w:t>
      </w:r>
    </w:p>
    <w:p w14:paraId="1C914054" w14:textId="732E2EDA" w:rsidR="00893E02" w:rsidRPr="000C4987" w:rsidRDefault="00893E02" w:rsidP="00FC3FD7">
      <w:pPr>
        <w:pStyle w:val="NormalWeb"/>
        <w:jc w:val="left"/>
        <w:rPr>
          <w:rStyle w:val="NoSpacingChar"/>
        </w:rPr>
      </w:pPr>
      <w:r w:rsidRPr="00893E02">
        <w:rPr>
          <w:b/>
          <w:bCs/>
          <w:color w:val="0C1B44"/>
          <w:sz w:val="32"/>
          <w:szCs w:val="32"/>
        </w:rPr>
        <w:t>Market Overview</w:t>
      </w:r>
      <w:r w:rsidRPr="00893E02">
        <w:rPr>
          <w:color w:val="0C1B44"/>
          <w:sz w:val="24"/>
          <w:szCs w:val="24"/>
        </w:rPr>
        <w:br/>
      </w:r>
      <w:r w:rsidR="0005780B">
        <w:rPr>
          <w:rStyle w:val="NoSpacingChar"/>
        </w:rPr>
        <w:t>The Home Healthcare Services market in Texas is experiencing robust growth, driven by an aging population and increasing preference for in-home care solutions. The state, with its large and diverse population, offers a significant market for home healthcare providers. In 2023, the market size for home healthcare services in Texas was valued at approximately $4.5 billion, with projections indicating a compound annual growth rate (CAGR) of 7% through 2028 (Source: Texas Health and Human Services, 2023). Key players such as AccentCare and Encompass Health are expanding their footprints, leveraging technological advancements to enhance service delivery. The demand for skilled nursing, physical therapy, and personal care services is particularly high, driven by chronic disease management needs and post-operative care requirements. Regulatory support, including Medicaid and Medicare reimbursements, continues to bolster market growth, although reimbursement rates remain a critical concern for providers.
- Texas is home to over 3.7 million residents aged 65 and older, a demographic expected to grow by 20% over the next decade (Source: U.S. Census Bureau, 2023).
- The prevalence of chronic diseases such as diabetes and heart disease in Texas is higher than the national average, driving demand for home healthcare services (Source: CDC, 2023).
- AccentCare, headquartered in Dallas, reported a 15% increase in revenue in 2023, attributed to expanded service offerings and strategic acquisitions (Source: AccentCare Annual Report, 2023).
- Encompass Health, with a significant presence in Texas, has invested heavily in telehealth solutions, enhancing patient engagement and care efficiency (Source: Encompass Health Investor Presentation, 2023).
- The Texas Medicaid program has increased funding for home healthcare services by 5% in 2024, supporting low-income families (Source: Texas Health and Human Services, 2024).
- Labor shortages, particularly for skilled nurses and therapists, remain a significant challenge, impacting service delivery and operational costs (Source: Texas Workforce Commission, 2023).
- The rise of value-based care models is pushing providers to focus on quality outcomes and patient satisfaction (Source: Health Affairs, 2023).
- Home healthcare providers are increasingly adopting electronic health records (EHRs) to streamline operations and improve care coordination (Source: HIMSS, 2023).
- Texas ranks third in the U.S. for home healthcare employment, with over 200,000 workers in the sector (Source: Bureau of Labor Statistics, 2023).
- The market is fragmented, with numerous small and mid-sized providers, creating opportunities for consolidation and scale efficiencies (Source: IBISWorld, 2023).</w:t>
      </w:r>
    </w:p>
    <w:p w14:paraId="6F4B230E" w14:textId="77777777" w:rsidR="000C4987" w:rsidRPr="000C4987" w:rsidRDefault="00893E02" w:rsidP="000C4987">
      <w:pPr>
        <w:pStyle w:val="NormalWeb"/>
        <w:spacing w:before="0" w:beforeAutospacing="0" w:after="0" w:afterAutospacing="0" w:line="276" w:lineRule="auto"/>
        <w:jc w:val="left"/>
        <w:rPr>
          <w:b/>
          <w:bCs/>
          <w:color w:val="0C1B44"/>
          <w:sz w:val="32"/>
          <w:szCs w:val="32"/>
        </w:rPr>
      </w:pPr>
      <w:r w:rsidRPr="000C4987">
        <w:rPr>
          <w:b/>
          <w:bCs/>
          <w:color w:val="0C1B44"/>
          <w:sz w:val="32"/>
          <w:szCs w:val="32"/>
        </w:rPr>
        <w:t>Industry Consolidation</w:t>
      </w:r>
    </w:p>
    <w:p w14:paraId="520C766F" w14:textId="30F3FF1C" w:rsidR="00893E02" w:rsidRPr="00893E02" w:rsidRDefault="0005780B" w:rsidP="000C4987">
      <w:pPr>
        <w:pStyle w:val="NormalWeb"/>
        <w:spacing w:before="0" w:beforeAutospacing="0" w:after="0" w:afterAutospacing="0"/>
        <w:jc w:val="left"/>
        <w:rPr>
          <w:rStyle w:val="NoSpacingChar"/>
          <w:b/>
          <w:bCs/>
          <w:sz w:val="24"/>
          <w:szCs w:val="24"/>
        </w:rPr>
      </w:pPr>
      <w:r>
        <w:rPr>
          <w:rStyle w:val="NoSpacingChar"/>
        </w:rPr>
        <w:t>The home healthcare services sector in Texas is witnessing significant consolidation as companies seek to achieve scale, enhance service offerings, and improve operational efficiencies. In 2023, there were over 25 notable M&amp;A transactions in the Texas home healthcare market, with a total deal value exceeding $1 billion (Source: PitchBook, 2023). Strategic acquisitions are primarily driven by larger players such as Amedisys and LHC Group, aiming to expand their geographic reach and service capabilities. The trend towards consolidation is also fueled by the need to navigate regulatory complexities and leverage technology investments more effectively. Private equity firms are actively participating in this consolidation wave, attracted by the sector's stable cash flows and growth potential.
- Amedisys acquired Texas-based Homecare Homebase for $150 million in 2023, enhancing its technology platform and operational capabilities (Source: Amedisys Press Release, 2023).
- LHC Group completed the acquisition of a mid-sized provider in Houston, adding $50 million in annual revenue and expanding its footprint in the region (Source: LHC Group Investor Relations, 2023).
- Private equity firm KKR invested in a Dallas-based home healthcare provider, focusing on scaling operations and improving service delivery (Source: KKR Press Release, 2023).
- The merger between AccentCare and Seasons Hospice &amp; Palliative Care created one of the largest home healthcare providers in Texas, with combined revenues exceeding $1 billion (Source: AccentCare Press Release, 2023).
- Consolidation is driven by the need to achieve economies of scale, reduce administrative costs, and enhance bargaining power with payers (Source: Health Affairs, 2023).
- Smaller providers are increasingly becoming acquisition targets due to their localized expertise and established patient relationships (Source: IBISWorld, 2023).
- The trend towards integrated care models is prompting providers to acquire complementary services such as hospice and palliative care (Source: Modern Healthcare, 2023).
- Regulatory pressures, including compliance with Medicare and Medicaid requirements, are encouraging consolidation to spread costs over a larger revenue base (Source: CMS, 2023).
- The entry of tech-enabled home healthcare startups is driving incumbents to acquire innovative solutions and stay competitive (Source: TechCrunch, 2023).
- The Texas home healthcare market remains attractive for M&amp;A activity due to its size, growth potential, and favorable demographic trends (Source: PwC Health Research Institute, 2023).</w:t>
      </w:r>
    </w:p>
    <w:p w14:paraId="4E735BFF" w14:textId="7DA39766" w:rsidR="00893E02" w:rsidRPr="00893E02" w:rsidRDefault="00893E02" w:rsidP="000D7BB7">
      <w:pPr>
        <w:tabs>
          <w:tab w:val="left" w:pos="6720"/>
        </w:tabs>
        <w:spacing w:before="100" w:beforeAutospacing="1" w:after="100" w:afterAutospacing="1"/>
        <w:jc w:val="left"/>
        <w:rPr>
          <w:rFonts w:ascii="Times New Roman" w:eastAsia="Times New Roman" w:hAnsi="Times New Roman" w:cs="Times New Roman"/>
          <w:sz w:val="24"/>
          <w:szCs w:val="24"/>
        </w:rPr>
      </w:pPr>
      <w:r w:rsidRPr="00893E02">
        <w:rPr>
          <w:rFonts w:ascii="Times New Roman" w:eastAsia="Times New Roman" w:hAnsi="Times New Roman" w:cs="Times New Roman"/>
          <w:b/>
          <w:bCs/>
          <w:color w:val="0C1B44"/>
          <w:sz w:val="32"/>
          <w:szCs w:val="32"/>
        </w:rPr>
        <w:t>Barriers to Entry</w:t>
      </w:r>
      <w:r w:rsidR="000D7BB7">
        <w:rPr>
          <w:rFonts w:ascii="Times New Roman" w:eastAsia="Times New Roman" w:hAnsi="Times New Roman" w:cs="Times New Roman"/>
          <w:b/>
          <w:bCs/>
          <w:color w:val="0C1B44"/>
          <w:sz w:val="32"/>
          <w:szCs w:val="32"/>
        </w:rPr>
        <w:tab/>
      </w:r>
      <w:r w:rsidRPr="00893E02">
        <w:rPr>
          <w:rFonts w:ascii="Times New Roman" w:eastAsia="Times New Roman" w:hAnsi="Times New Roman" w:cs="Times New Roman"/>
          <w:sz w:val="32"/>
          <w:szCs w:val="32"/>
        </w:rPr>
        <w:br/>
      </w:r>
      <w:r w:rsidR="0005780B">
        <w:t>Entering the home healthcare services market in Texas presents several challenges, including regulatory compliance, capital requirements, and competition from established players. The industry is heavily regulated, with providers required to adhere to stringent state and federal guidelines, including licensing, staffing, and operational standards. Capital investment is necessary for technology adoption, staff training, and marketing to establish a competitive presence. Additionally, the market is dominated by large, well-established companies with significant resources and brand recognition, making it difficult for new entrants to gain a foothold. However, niche opportunities exist for specialized services and underserved geographic areas.
- Licensing requirements in Texas are stringent, with providers needing to comply with both state and federal regulations, including Medicare and Medicaid standards (Source: Texas Department of Aging and Disability Services, 2023).
- High initial capital investment is required for technology infrastructure, staff recruitment, and training programs (Source: Deloitte, 2023).
- Established players like Encompass Health and AccentCare have significant brand recognition and customer loyalty, creating a competitive barrier for new entrants (Source: Encompass Health Annual Report, 2023).
- The need for skilled healthcare professionals, particularly nurses and therapists, presents a significant hiring challenge due to labor shortages (Source: Texas Workforce Commission, 2023).
- Compliance with HIPAA and other patient privacy regulations requires robust data management systems, adding to operational complexity (Source: HIMSS, 2023).
- The competitive landscape is characterized by price competition, with larger providers able to leverage economies of scale to offer competitive pricing (Source: IBISWorld, 2023).
- Building relationships with referral sources such as hospitals and physicians is critical for patient acquisition, requiring time and effort (Source: Modern Healthcare, 2023).
- The shift towards value-based care models necessitates investment in quality improvement initiatives and patient satisfaction measures (Source: Health Affairs, 2023).
- Geographic expansion is limited by the need to establish local operations and comply with regional regulations (Source: PwC Health Research Institute, 2023).
- Niche opportunities exist in specialized services such as pediatric home care and telehealth, offering potential entry points for new providers (Source: TechCrunch, 2023).</w:t>
      </w:r>
    </w:p>
    <w:p w14:paraId="3A9D19C8" w14:textId="51F7D113" w:rsidR="00893E02" w:rsidRPr="00893E02" w:rsidRDefault="00893E02" w:rsidP="000C4987">
      <w:pPr>
        <w:spacing w:before="100" w:beforeAutospacing="1" w:after="100" w:afterAutospacing="1"/>
        <w:jc w:val="left"/>
        <w:rPr>
          <w:rFonts w:ascii="Times New Roman" w:eastAsia="Times New Roman" w:hAnsi="Times New Roman" w:cs="Times New Roman"/>
          <w:sz w:val="24"/>
          <w:szCs w:val="24"/>
        </w:rPr>
      </w:pPr>
      <w:r w:rsidRPr="00893E02">
        <w:rPr>
          <w:rFonts w:ascii="Times New Roman" w:eastAsia="Times New Roman" w:hAnsi="Times New Roman" w:cs="Times New Roman"/>
          <w:b/>
          <w:bCs/>
          <w:color w:val="0C1B44"/>
          <w:sz w:val="32"/>
          <w:szCs w:val="32"/>
        </w:rPr>
        <w:t>Cash Flow Characteristics</w:t>
      </w:r>
      <w:r w:rsidRPr="00893E02">
        <w:rPr>
          <w:rFonts w:ascii="Times New Roman" w:eastAsia="Times New Roman" w:hAnsi="Times New Roman" w:cs="Times New Roman"/>
          <w:sz w:val="24"/>
          <w:szCs w:val="24"/>
        </w:rPr>
        <w:br/>
      </w:r>
      <w:r w:rsidR="0005780B">
        <w:t>Home healthcare services companies in Texas typically exhibit stable revenue streams, driven by recurring patient visits and long-term care contracts. The average EBITDA margin for companies in this sector is around 10-15%, with larger providers achieving higher margins due to economies of scale (Source: IBISWorld, 2023). Revenue growth is supported by increasing demand for in-home care and favorable demographic trends. However, profitability is challenged by rising labor costs, regulatory compliance expenses, and reimbursement rate pressures. Effective cost management and operational efficiency are critical for maintaining healthy margins.
- The average revenue per patient visit in Texas is approximately $150, with variations based on service type and geographic location (Source: Texas Health and Human Services, 2023).
- Labor costs account for over 60% of total operating expenses, driven by competitive wages for skilled healthcare professionals (Source: Bureau of Labor Statistics, 2023).
- Technology investments, including EHR systems and telehealth platforms, represent a significant portion of capital expenditures (Source: HIMSS, 2023).
- Reimbursement rates from Medicare and Medicaid are a critical factor in revenue generation, with recent increases providing some relief to providers (Source: CMS, 2023).
- Companies with diversified service offerings, including hospice and palliative care, tend to achieve higher revenue growth and profitability (Source: Modern Healthcare, 2023).
- The average length of patient care episodes is approximately 60 days, with chronic disease management cases extending longer (Source: Health Affairs, 2023).
- Providers are increasingly adopting value-based care models, linking reimbursement to patient outcomes and satisfaction (Source: Health Affairs, 2023).
- Operational efficiency, including optimized scheduling and resource allocation, is key to maintaining competitive margins (Source: Deloitte, 2023).
- The average EBITDA for mid-sized providers in Texas is around $5 million, with potential for growth through strategic acquisitions and service expansion (Source: PitchBook, 2023).
- Financial performance is influenced by regional economic conditions, with urban areas typically offering higher revenue potential due to larger patient populations (Source: PwC Health Research Institute, 2023).</w:t>
      </w:r>
    </w:p>
    <w:p w14:paraId="37F2E6D2" w14:textId="22E0E1AF" w:rsidR="00893E02" w:rsidRPr="00893E02" w:rsidRDefault="00893E02" w:rsidP="000C4987">
      <w:pPr>
        <w:spacing w:before="100" w:beforeAutospacing="1" w:after="100" w:afterAutospacing="1"/>
        <w:jc w:val="left"/>
        <w:rPr>
          <w:rFonts w:ascii="Times New Roman" w:eastAsia="Times New Roman" w:hAnsi="Times New Roman" w:cs="Times New Roman"/>
          <w:sz w:val="24"/>
          <w:szCs w:val="24"/>
        </w:rPr>
      </w:pPr>
      <w:r w:rsidRPr="00893E02">
        <w:rPr>
          <w:rFonts w:ascii="Times New Roman" w:eastAsia="Times New Roman" w:hAnsi="Times New Roman" w:cs="Times New Roman"/>
          <w:b/>
          <w:bCs/>
          <w:color w:val="0C1B44"/>
          <w:sz w:val="32"/>
          <w:szCs w:val="32"/>
        </w:rPr>
        <w:t>Technological Adaptation</w:t>
      </w:r>
      <w:r w:rsidRPr="00893E02">
        <w:rPr>
          <w:rFonts w:ascii="Times New Roman" w:eastAsia="Times New Roman" w:hAnsi="Times New Roman" w:cs="Times New Roman"/>
          <w:sz w:val="24"/>
          <w:szCs w:val="24"/>
        </w:rPr>
        <w:br/>
      </w:r>
      <w:r w:rsidR="0005780B">
        <w:t>- Telehealth adoption in Texas increased by 30% in 2023, with providers leveraging virtual consultations to expand access to care (Source: Texas Health and Human Services, 2023).
- EHR systems are used by over 80% of home healthcare providers in Texas, improving data accuracy and care coordination (Source: HIMSS, 2023).
- Mobile health applications are being developed to enhance patient engagement, with features such as appointment reminders and medication tracking (Source: TechCrunch, 2023).
- AI and machine learning are being explored for predictive analytics, helping providers anticipate patient needs and allocate resources efficiently (Source: Deloitte, 2023).
- Remote patient monitoring devices are increasingly used for chronic disease management, allowing for real-time health data collection (Source: Modern Healthcare, 2023).
- Providers are investing in cybersecurity measures to protect patient data and comply with HIPAA regulations (Source: HIMSS, 2023).
- The integration of wearable technology is enhancing patient monitoring and care personalization (Source: TechCrunch, 2023).
- Blockchain technology is being explored for secure data sharing and interoperability among healthcare providers (Source: PwC Health Research Institute, 2023).
- Virtual reality (VR) is being tested for pain management and rehabilitation therapy, offering innovative care solutions (Source: Health Affairs, 2023).
- The use of data analytics is helping providers identify trends and improve care quality, driving better patient outcomes (Source: Deloitte, 2023).</w:t>
      </w:r>
    </w:p>
    <w:p w14:paraId="7C8DE5F8" w14:textId="6625752F" w:rsidR="00893E02" w:rsidRPr="00893E02" w:rsidRDefault="00893E02" w:rsidP="000C4987">
      <w:pPr>
        <w:spacing w:before="100" w:beforeAutospacing="1" w:after="100" w:afterAutospacing="1"/>
        <w:jc w:val="left"/>
        <w:rPr>
          <w:rFonts w:ascii="Times New Roman" w:eastAsia="Times New Roman" w:hAnsi="Times New Roman" w:cs="Times New Roman"/>
          <w:sz w:val="24"/>
          <w:szCs w:val="24"/>
        </w:rPr>
      </w:pPr>
      <w:r w:rsidRPr="00893E02">
        <w:rPr>
          <w:rFonts w:ascii="Times New Roman" w:eastAsia="Times New Roman" w:hAnsi="Times New Roman" w:cs="Times New Roman"/>
          <w:b/>
          <w:bCs/>
          <w:color w:val="0C1B44"/>
          <w:sz w:val="32"/>
          <w:szCs w:val="32"/>
        </w:rPr>
        <w:t>Key Investment Insight</w:t>
      </w:r>
      <w:r w:rsidRPr="00893E02">
        <w:rPr>
          <w:rFonts w:ascii="Times New Roman" w:eastAsia="Times New Roman" w:hAnsi="Times New Roman" w:cs="Times New Roman"/>
          <w:sz w:val="24"/>
          <w:szCs w:val="24"/>
        </w:rPr>
        <w:br/>
      </w:r>
      <w:r w:rsidR="0005780B">
        <w:t>The home healthcare services sector in Texas presents a compelling investment opportunity, driven by favorable demographic trends, increasing demand for in-home care, and technological advancements. Companies with EBITDA of $5 million or more are well-positioned for growth through strategic acquisitions and service diversification. Investors can create value by supporting technology adoption, enhancing operational efficiencies, and expanding service offerings. The sector's stable cash flows and growth potential make it attractive for private equity investment, particularly in a fragmented market ripe for consolidation.
- The aging population in Texas is expected to drive sustained demand for home healthcare services, providing a stable revenue base (Source: U.S. Census Bureau, 2023).
- Strategic acquisitions of smaller providers can enhance geographic reach and service capabilities, driving revenue growth (Source: PitchBook, 2023).
- Investment in telehealth and remote monitoring technologies can improve patient care and operational efficiency (Source: Texas Health and Human Services, 2023).
- Diversification into complementary services such as hospice and palliative care can enhance revenue streams and profitability (Source: Modern Healthcare, 2023).
- Operational improvements, including optimized scheduling and resource allocation, can drive cost savings and margin expansion (Source: Deloitte, 2023).
- The shift towards value-based care models offers opportunities to improve patient outcomes and align incentives with payers (Source: Health Affairs, 2023).
- Enhancing patient engagement through mobile health applications can improve adherence to care plans and satisfaction (Source: TechCrunch, 2023).
- The fragmented market offers opportunities for consolidation, creating scale efficiencies and competitive advantages (Source: IBISWorld, 2023).
- Regulatory support, including increased Medicaid funding, provides a favorable environment for growth (Source: Texas Health and Human Services, 2024).
- The sector's resilience to economic downturns, due to essential service nature, makes it a stable investment choice (Source: PwC Health Research Institute, 2023).</w:t>
      </w:r>
    </w:p>
    <w:tbl>
      <w:tblPr>
        <w:tblW w:w="0" w:type="auto"/>
        <w:tblLook w:val="04A0" w:firstRow="1" w:lastRow="0" w:firstColumn="1" w:lastColumn="0" w:noHBand="0" w:noVBand="1"/>
      </w:tblPr>
      <w:tblGrid>
        <w:gridCol w:w="5380"/>
        <w:gridCol w:w="5420"/>
      </w:tblGrid>
      <w:tr w:rsidR="00893E02" w14:paraId="71D30975" w14:textId="77777777" w:rsidTr="00FC3FD7">
        <w:tc>
          <w:tcPr>
            <w:tcW w:w="5395" w:type="dxa"/>
          </w:tcPr>
          <w:p w14:paraId="60F4F630" w14:textId="175EF7BD" w:rsidR="00893E02" w:rsidRDefault="00893E02">
            <w:r w:rsidRPr="00E31A48">
              <w:rPr>
                <w:rFonts w:ascii="Lato" w:hAnsi="Lato"/>
                <w:i/>
                <w:iCs/>
                <w:noProof/>
                <w:color w:val="0C1B44"/>
                <w:spacing w:val="9"/>
                <w:sz w:val="32"/>
                <w:szCs w:val="32"/>
              </w:rPr>
              <w:drawing>
                <wp:inline distT="0" distB="0" distL="0" distR="0" wp14:anchorId="3152BF0A" wp14:editId="1FF62D0B">
                  <wp:extent cx="3284112" cy="1565910"/>
                  <wp:effectExtent l="12700" t="12700" r="18415" b="8890"/>
                  <wp:docPr id="643781543"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8">
                            <a:extLst>
                              <a:ext uri="{BEBA8EAE-BF5A-486C-A8C5-ECC9F3942E4B}">
                                <a14:imgProps xmlns:a14="http://schemas.microsoft.com/office/drawing/2010/main">
                                  <a14:imgLayer r:embed="rId9">
                                    <a14:imgEffect>
                                      <a14:saturation sat="66000"/>
                                    </a14:imgEffect>
                                  </a14:imgLayer>
                                </a14:imgProps>
                              </a:ext>
                            </a:extLst>
                          </a:blip>
                          <a:stretch>
                            <a:fillRect/>
                          </a:stretch>
                        </pic:blipFill>
                        <pic:spPr>
                          <a:xfrm>
                            <a:off x="0" y="0"/>
                            <a:ext cx="3284112" cy="1565910"/>
                          </a:xfrm>
                          <a:prstGeom prst="rect">
                            <a:avLst/>
                          </a:prstGeom>
                          <a:ln>
                            <a:solidFill>
                              <a:schemeClr val="tx1"/>
                            </a:solidFill>
                          </a:ln>
                        </pic:spPr>
                      </pic:pic>
                    </a:graphicData>
                  </a:graphic>
                </wp:inline>
              </w:drawing>
            </w:r>
          </w:p>
        </w:tc>
        <w:tc>
          <w:tcPr>
            <w:tcW w:w="5395" w:type="dxa"/>
          </w:tcPr>
          <w:p w14:paraId="30957C6C" w14:textId="40217B4B" w:rsidR="00893E02" w:rsidRDefault="00893E02">
            <w:r w:rsidRPr="00E31A48">
              <w:rPr>
                <w:rFonts w:ascii="Lato" w:hAnsi="Lato"/>
                <w:i/>
                <w:iCs/>
                <w:noProof/>
                <w:color w:val="0C1B44"/>
                <w:spacing w:val="9"/>
                <w:sz w:val="32"/>
                <w:szCs w:val="32"/>
              </w:rPr>
              <w:drawing>
                <wp:inline distT="0" distB="0" distL="0" distR="0" wp14:anchorId="5F83CFE6" wp14:editId="7C948C0A">
                  <wp:extent cx="3309871" cy="1565910"/>
                  <wp:effectExtent l="12700" t="12700" r="17780" b="8890"/>
                  <wp:docPr id="61150041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10"/>
                          <a:stretch>
                            <a:fillRect/>
                          </a:stretch>
                        </pic:blipFill>
                        <pic:spPr>
                          <a:xfrm>
                            <a:off x="0" y="0"/>
                            <a:ext cx="3411868" cy="1614165"/>
                          </a:xfrm>
                          <a:prstGeom prst="rect">
                            <a:avLst/>
                          </a:prstGeom>
                          <a:ln>
                            <a:solidFill>
                              <a:schemeClr val="tx1"/>
                            </a:solidFill>
                          </a:ln>
                        </pic:spPr>
                      </pic:pic>
                    </a:graphicData>
                  </a:graphic>
                </wp:inline>
              </w:drawing>
            </w:r>
          </w:p>
        </w:tc>
      </w:tr>
      <w:tr w:rsidR="00893E02" w14:paraId="3B3ACD6A" w14:textId="77777777" w:rsidTr="00FC3FD7">
        <w:trPr>
          <w:trHeight w:val="251"/>
        </w:trPr>
        <w:tc>
          <w:tcPr>
            <w:tcW w:w="5395" w:type="dxa"/>
          </w:tcPr>
          <w:p w14:paraId="481EBF9F" w14:textId="1EF2D8EF" w:rsidR="00893E02" w:rsidRPr="00FC3FD7" w:rsidRDefault="00FC3FD7" w:rsidP="00FC3FD7">
            <w:pPr>
              <w:pStyle w:val="NormalWeb"/>
              <w:rPr>
                <w:bCs/>
                <w:iCs/>
              </w:rPr>
            </w:pPr>
            <w:r w:rsidRPr="00FC3FD7">
              <w:rPr>
                <w:rFonts w:asciiTheme="minorHAnsi" w:eastAsiaTheme="minorEastAsia" w:hAnsiTheme="minorHAnsi" w:cstheme="minorBidi"/>
                <w:bCs/>
                <w:iCs/>
              </w:rPr>
              <w:t>Figure 1: Placeholder area for industry growth and valuation graphs.</w:t>
            </w:r>
          </w:p>
        </w:tc>
        <w:tc>
          <w:tcPr>
            <w:tcW w:w="5395" w:type="dxa"/>
          </w:tcPr>
          <w:p w14:paraId="5EAA02D0" w14:textId="0BE95AB6" w:rsidR="00893E02" w:rsidRPr="00FC3FD7" w:rsidRDefault="00FC3FD7" w:rsidP="00FC3FD7">
            <w:pPr>
              <w:pStyle w:val="NormalWeb"/>
            </w:pPr>
            <w:r w:rsidRPr="00FC3FD7">
              <w:rPr>
                <w:rFonts w:asciiTheme="minorHAnsi" w:eastAsiaTheme="minorEastAsia" w:hAnsiTheme="minorHAnsi" w:cstheme="minorBidi"/>
              </w:rPr>
              <w:t>Figure 2: Placeholder area for market segmentation or performance charts.</w:t>
            </w:r>
          </w:p>
        </w:tc>
      </w:tr>
    </w:tbl>
    <w:p w14:paraId="0E4B3110" w14:textId="2476A3CB" w:rsidR="00A03AC1" w:rsidRDefault="000C4987" w:rsidP="000C4987">
      <w:r>
        <w:rPr>
          <w:noProof/>
        </w:rPr>
        <mc:AlternateContent>
          <mc:Choice Requires="wps">
            <w:drawing>
              <wp:anchor distT="0" distB="0" distL="114300" distR="114300" simplePos="0" relativeHeight="251670528" behindDoc="0" locked="0" layoutInCell="1" allowOverlap="1" wp14:anchorId="7AB9A65C" wp14:editId="3F5C8B38">
                <wp:simplePos x="0" y="0"/>
                <wp:positionH relativeFrom="column">
                  <wp:posOffset>-46990</wp:posOffset>
                </wp:positionH>
                <wp:positionV relativeFrom="paragraph">
                  <wp:posOffset>228490</wp:posOffset>
                </wp:positionV>
                <wp:extent cx="1416676" cy="0"/>
                <wp:effectExtent l="0" t="0" r="6350" b="12700"/>
                <wp:wrapNone/>
                <wp:docPr id="1388710549" name="Straight Connector 2"/>
                <wp:cNvGraphicFramePr/>
                <a:graphic xmlns:a="http://schemas.openxmlformats.org/drawingml/2006/main">
                  <a:graphicData uri="http://schemas.microsoft.com/office/word/2010/wordprocessingShape">
                    <wps:wsp>
                      <wps:cNvCnPr/>
                      <wps:spPr>
                        <a:xfrm>
                          <a:off x="0" y="0"/>
                          <a:ext cx="1416676" cy="0"/>
                        </a:xfrm>
                        <a:prstGeom prst="line">
                          <a:avLst/>
                        </a:prstGeom>
                        <a:ln w="63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9D0265"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pt,18pt" to="107.8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" strokecolor="black [3200]" strokeweight=".5pt">
                <v:stroke joinstyle="miter"/>
              </v:line>
            </w:pict>
          </mc:Fallback>
        </mc:AlternateContent>
      </w:r>
    </w:p>
    <w:p w14:paraId="1046157D" w14:textId="284DA026" w:rsidR="000C4987" w:rsidRPr="00FC3FD7" w:rsidRDefault="0005780B" w:rsidP="00FC3FD7">
      <w:pPr>
        <w:pStyle w:val="ListParagraph"/>
        <w:spacing w:after="0" w:line="240" w:lineRule="auto"/>
        <w:ind w:left="0"/>
        <w:jc w:val="left"/>
        <w:rPr>
          <w:sz w:val="16"/>
          <w:szCs w:val="16"/>
        </w:rPr>
      </w:pPr>
      <w:r>
        <w:rPr>
          <w:sz w:val="16"/>
          <w:szCs w:val="16"/>
        </w:rPr>
        <w:t>{sources}</w:t>
      </w:r>
    </w:p>
    <w:p w14:paraId="0035C891" w14:textId="77777777" w:rsidR="0005780B" w:rsidRDefault="0005780B" w:rsidP="008531E5">
      <w:pPr>
        <w:jc w:val="left"/>
      </w:pPr>
    </w:p>
    <w:p w14:paraId="26976CB3" w14:textId="77777777" w:rsidR="0005780B" w:rsidRDefault="0005780B" w:rsidP="008531E5">
      <w:pPr>
        <w:jc w:val="left"/>
      </w:pPr>
    </w:p>
    <w:p w14:paraId="079FBFBF" w14:textId="77777777" w:rsidR="0005780B" w:rsidRDefault="0005780B" w:rsidP="008531E5">
      <w:pPr>
        <w:jc w:val="left"/>
      </w:pPr>
    </w:p>
    <w:p w14:paraId="1870DDB1" w14:textId="1A31E80B" w:rsidR="00A03AC1" w:rsidRDefault="008531E5" w:rsidP="008531E5">
      <w:pPr>
        <w:jc w:val="left"/>
      </w:pPr>
      <w:r>
        <w:rPr>
          <w:rFonts w:ascii="Lato" w:hAnsi="Lato"/>
          <w:i/>
          <w:iCs/>
          <w:noProof/>
          <w:color w:val="0C1B44"/>
          <w:spacing w:val="9"/>
          <w:sz w:val="32"/>
          <w:szCs w:val="32"/>
        </w:rPr>
        <mc:AlternateContent>
          <mc:Choice Requires="wps">
            <w:drawing>
              <wp:anchor distT="0" distB="0" distL="114300" distR="114300" simplePos="0" relativeHeight="251667456" behindDoc="0" locked="0" layoutInCell="1" allowOverlap="1" wp14:anchorId="54C86A23" wp14:editId="328247E4">
                <wp:simplePos x="0" y="0"/>
                <wp:positionH relativeFrom="column">
                  <wp:posOffset>-454660</wp:posOffset>
                </wp:positionH>
                <wp:positionV relativeFrom="paragraph">
                  <wp:posOffset>341630</wp:posOffset>
                </wp:positionV>
                <wp:extent cx="7889875" cy="586740"/>
                <wp:effectExtent l="12700" t="12700" r="9525" b="10160"/>
                <wp:wrapNone/>
                <wp:docPr id="1281088134" name="Rectangle 3"/>
                <wp:cNvGraphicFramePr/>
                <a:graphic xmlns:a="http://schemas.openxmlformats.org/drawingml/2006/main">
                  <a:graphicData uri="http://schemas.microsoft.com/office/word/2010/wordprocessingShape">
                    <wps:wsp>
                      <wps:cNvSpPr/>
                      <wps:spPr>
                        <a:xfrm>
                          <a:off x="0" y="0"/>
                          <a:ext cx="7889875" cy="586740"/>
                        </a:xfrm>
                        <a:prstGeom prst="rect">
                          <a:avLst/>
                        </a:prstGeom>
                        <a:solidFill>
                          <a:srgbClr val="0C1B4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1B1F4" id="Rectangle 3" o:spid="_x0000_s1026" style="position:absolute;margin-left:-35.8pt;margin-top:26.9pt;width:621.25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" fillcolor="#0c1b44" strokecolor="#030e13 [484]" strokeweight="1.5pt"/>
            </w:pict>
          </mc:Fallback>
        </mc:AlternateContent>
      </w:r>
      <w:r w:rsidR="00FC3FD7">
        <w:rPr>
          <w:rFonts w:ascii="Lato" w:hAnsi="Lato"/>
          <w:i/>
          <w:iCs/>
          <w:noProof/>
          <w:color w:val="0C1B44"/>
          <w:spacing w:val="9"/>
          <w:sz w:val="32"/>
          <w:szCs w:val="32"/>
        </w:rPr>
        <mc:AlternateContent>
          <mc:Choice Requires="wps">
            <w:drawing>
              <wp:anchor distT="0" distB="0" distL="114300" distR="114300" simplePos="0" relativeHeight="251668480" behindDoc="0" locked="0" layoutInCell="1" allowOverlap="1" wp14:anchorId="35277FEE" wp14:editId="4B0C50BD">
                <wp:simplePos x="0" y="0"/>
                <wp:positionH relativeFrom="column">
                  <wp:posOffset>334645</wp:posOffset>
                </wp:positionH>
                <wp:positionV relativeFrom="paragraph">
                  <wp:posOffset>437041</wp:posOffset>
                </wp:positionV>
                <wp:extent cx="6372225" cy="386080"/>
                <wp:effectExtent l="0" t="0" r="0" b="0"/>
                <wp:wrapNone/>
                <wp:docPr id="2059521232" name="Text Box 5"/>
                <wp:cNvGraphicFramePr/>
                <a:graphic xmlns:a="http://schemas.openxmlformats.org/drawingml/2006/main">
                  <a:graphicData uri="http://schemas.microsoft.com/office/word/2010/wordprocessingShape">
                    <wps:wsp>
                      <wps:cNvSpPr txBox="1"/>
                      <wps:spPr>
                        <a:xfrm>
                          <a:off x="0" y="0"/>
                          <a:ext cx="6372225" cy="386080"/>
                        </a:xfrm>
                        <a:prstGeom prst="rect">
                          <a:avLst/>
                        </a:prstGeom>
                        <a:noFill/>
                        <a:ln w="6350">
                          <a:noFill/>
                        </a:ln>
                      </wps:spPr>
                      <wps:txbx>
                        <w:txbxContent>
                          <w:p w14:paraId="13113DE1" w14:textId="77777777" w:rsidR="0005780B" w:rsidRPr="00D1026B" w:rsidRDefault="0005780B" w:rsidP="0005780B">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Pr="00D1026B">
                              <w:rPr>
                                <w:color w:val="FFFFFF" w:themeColor="background1"/>
                                <w14:textOutline w14:w="9525" w14:cap="rnd" w14:cmpd="sng" w14:algn="ctr">
                                  <w14:noFill/>
                                  <w14:prstDash w14:val="solid"/>
                                  <w14:bevel/>
                                </w14:textOutline>
                              </w:rPr>
                              <w:t xml:space="preserve">   </w:t>
                            </w:r>
                            <w:proofErr w:type="gramEnd"/>
                            <w:r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p w14:paraId="1C20C978" w14:textId="7654175D" w:rsidR="00A03AC1" w:rsidRPr="00D1026B" w:rsidRDefault="00A03AC1" w:rsidP="00A03AC1">
                            <w:pPr>
                              <w:rPr>
                                <w:color w:val="FFFFFF" w:themeColor="background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77FEE" id="_x0000_t202" coordsize="21600,21600" o:spt="202" path="m,l,21600r21600,l21600,xe">
                <v:stroke joinstyle="miter"/>
                <v:path gradientshapeok="t" o:connecttype="rect"/>
              </v:shapetype>
              <v:shape id="Text Box 5" o:spid="_x0000_s1026" type="#_x0000_t202" style="position:absolute;margin-left:26.35pt;margin-top:34.4pt;width:501.75pt;height:3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" filled="f" stroked="f" strokeweight=".5pt">
                <v:textbox>
                  <w:txbxContent>
                    <w:p w14:paraId="13113DE1" w14:textId="77777777" w:rsidR="0005780B" w:rsidRPr="00D1026B" w:rsidRDefault="0005780B" w:rsidP="0005780B">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p w14:paraId="1C20C978" w14:textId="7654175D" w:rsidR="00A03AC1" w:rsidRPr="00D1026B" w:rsidRDefault="00A03AC1" w:rsidP="00A03AC1">
                      <w:pPr>
                        <w:rPr>
                          <w:color w:val="FFFFFF" w:themeColor="background1"/>
                          <w14:textOutline w14:w="9525" w14:cap="rnd" w14:cmpd="sng" w14:algn="ctr">
                            <w14:noFill/>
                            <w14:prstDash w14:val="solid"/>
                            <w14:bevel/>
                          </w14:textOutline>
                        </w:rPr>
                      </w:pPr>
                    </w:p>
                  </w:txbxContent>
                </v:textbox>
              </v:shape>
            </w:pict>
          </mc:Fallback>
        </mc:AlternateContent>
      </w:r>
    </w:p>
    <w:sectPr w:rsidR="00A03AC1" w:rsidSect="00A03AC1">
      <w:headerReference w:type="default" r:id="rId11"/>
      <w:footerReference w:type="default" r:id="rId12"/>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965A5" w14:textId="77777777" w:rsidR="001D236F" w:rsidRDefault="001D236F" w:rsidP="00A03AC1">
      <w:pPr>
        <w:spacing w:after="0" w:line="240" w:lineRule="auto"/>
      </w:pPr>
      <w:r>
        <w:separator/>
      </w:r>
    </w:p>
  </w:endnote>
  <w:endnote w:type="continuationSeparator" w:id="0">
    <w:p w14:paraId="20681CCB" w14:textId="77777777" w:rsidR="001D236F" w:rsidRDefault="001D236F" w:rsidP="00A0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0AC89" w14:textId="77777777" w:rsidR="00D604E6" w:rsidRDefault="00D604E6" w:rsidP="003D3AC9">
    <w:pPr>
      <w:pStyle w:val="Footer"/>
      <w:ind w:left="4680" w:hanging="4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B0811" w14:textId="77777777" w:rsidR="001D236F" w:rsidRDefault="001D236F" w:rsidP="00A03AC1">
      <w:pPr>
        <w:spacing w:after="0" w:line="240" w:lineRule="auto"/>
      </w:pPr>
      <w:r>
        <w:separator/>
      </w:r>
    </w:p>
  </w:footnote>
  <w:footnote w:type="continuationSeparator" w:id="0">
    <w:p w14:paraId="2684D1A0" w14:textId="77777777" w:rsidR="001D236F" w:rsidRDefault="001D236F" w:rsidP="00A03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7A05F" w14:textId="77777777" w:rsidR="00D604E6" w:rsidRDefault="00D604E6" w:rsidP="00D17465">
    <w:pPr>
      <w:pStyle w:val="Header"/>
      <w:jc w:val="center"/>
    </w:pPr>
    <w:r>
      <w:rPr>
        <w:rFonts w:ascii="Arial" w:hAnsi="Arial" w:cs="Arial"/>
        <w:noProof/>
        <w:color w:val="000000"/>
        <w:sz w:val="22"/>
        <w:szCs w:val="22"/>
        <w:bdr w:val="single" w:sz="8" w:space="0" w:color="000000" w:frame="1"/>
      </w:rPr>
      <w:drawing>
        <wp:inline distT="0" distB="0" distL="0" distR="0" wp14:anchorId="6FCF935A" wp14:editId="2D39DAA8">
          <wp:extent cx="2515870" cy="1272397"/>
          <wp:effectExtent l="0" t="0" r="0" b="0"/>
          <wp:docPr id="97205817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09" name="Picture 1"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984" b="1561"/>
                  <a:stretch>
                    <a:fillRect/>
                  </a:stretch>
                </pic:blipFill>
                <pic:spPr bwMode="auto">
                  <a:xfrm>
                    <a:off x="0" y="0"/>
                    <a:ext cx="2517140" cy="127304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46B"/>
    <w:multiLevelType w:val="hybridMultilevel"/>
    <w:tmpl w:val="86E8123E"/>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257D4F"/>
    <w:multiLevelType w:val="hybridMultilevel"/>
    <w:tmpl w:val="1DBAD388"/>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1799A"/>
    <w:multiLevelType w:val="multilevel"/>
    <w:tmpl w:val="CFE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101092">
    <w:abstractNumId w:val="0"/>
  </w:num>
  <w:num w:numId="2" w16cid:durableId="906691938">
    <w:abstractNumId w:val="1"/>
  </w:num>
  <w:num w:numId="3" w16cid:durableId="168717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E6"/>
    <w:rsid w:val="0005780B"/>
    <w:rsid w:val="00067AF7"/>
    <w:rsid w:val="000739FA"/>
    <w:rsid w:val="000C4987"/>
    <w:rsid w:val="000D7BB7"/>
    <w:rsid w:val="001D236F"/>
    <w:rsid w:val="0038674C"/>
    <w:rsid w:val="006310D8"/>
    <w:rsid w:val="007F780D"/>
    <w:rsid w:val="00822D4B"/>
    <w:rsid w:val="008531E5"/>
    <w:rsid w:val="00893E02"/>
    <w:rsid w:val="009716C8"/>
    <w:rsid w:val="009A27C5"/>
    <w:rsid w:val="00A01611"/>
    <w:rsid w:val="00A03AC1"/>
    <w:rsid w:val="00B118DC"/>
    <w:rsid w:val="00BF1D81"/>
    <w:rsid w:val="00CA0EE5"/>
    <w:rsid w:val="00D604E6"/>
    <w:rsid w:val="00D967A7"/>
    <w:rsid w:val="00FC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BC43"/>
  <w15:chartTrackingRefBased/>
  <w15:docId w15:val="{46AF689C-1137-EA45-BD8F-CE9D231A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C1"/>
  </w:style>
  <w:style w:type="paragraph" w:styleId="Heading1">
    <w:name w:val="heading 1"/>
    <w:basedOn w:val="Normal"/>
    <w:next w:val="Normal"/>
    <w:link w:val="Heading1Char"/>
    <w:uiPriority w:val="9"/>
    <w:qFormat/>
    <w:rsid w:val="00A03A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03AC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03A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03AC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03AC1"/>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A03AC1"/>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A03AC1"/>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A03AC1"/>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A03AC1"/>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C1"/>
    <w:rPr>
      <w:smallCaps/>
      <w:spacing w:val="5"/>
      <w:sz w:val="32"/>
      <w:szCs w:val="32"/>
    </w:rPr>
  </w:style>
  <w:style w:type="character" w:customStyle="1" w:styleId="Heading2Char">
    <w:name w:val="Heading 2 Char"/>
    <w:basedOn w:val="DefaultParagraphFont"/>
    <w:link w:val="Heading2"/>
    <w:uiPriority w:val="9"/>
    <w:semiHidden/>
    <w:rsid w:val="00A03AC1"/>
    <w:rPr>
      <w:smallCaps/>
      <w:spacing w:val="5"/>
      <w:sz w:val="28"/>
      <w:szCs w:val="28"/>
    </w:rPr>
  </w:style>
  <w:style w:type="character" w:customStyle="1" w:styleId="Heading3Char">
    <w:name w:val="Heading 3 Char"/>
    <w:basedOn w:val="DefaultParagraphFont"/>
    <w:link w:val="Heading3"/>
    <w:uiPriority w:val="9"/>
    <w:semiHidden/>
    <w:rsid w:val="00A03AC1"/>
    <w:rPr>
      <w:smallCaps/>
      <w:spacing w:val="5"/>
      <w:sz w:val="24"/>
      <w:szCs w:val="24"/>
    </w:rPr>
  </w:style>
  <w:style w:type="character" w:customStyle="1" w:styleId="Heading4Char">
    <w:name w:val="Heading 4 Char"/>
    <w:basedOn w:val="DefaultParagraphFont"/>
    <w:link w:val="Heading4"/>
    <w:uiPriority w:val="9"/>
    <w:semiHidden/>
    <w:rsid w:val="00A03AC1"/>
    <w:rPr>
      <w:smallCaps/>
      <w:spacing w:val="10"/>
      <w:sz w:val="22"/>
      <w:szCs w:val="22"/>
    </w:rPr>
  </w:style>
  <w:style w:type="character" w:customStyle="1" w:styleId="Heading5Char">
    <w:name w:val="Heading 5 Char"/>
    <w:basedOn w:val="DefaultParagraphFont"/>
    <w:link w:val="Heading5"/>
    <w:uiPriority w:val="9"/>
    <w:semiHidden/>
    <w:rsid w:val="00A03AC1"/>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A03AC1"/>
    <w:rPr>
      <w:smallCaps/>
      <w:color w:val="E97132" w:themeColor="accent2"/>
      <w:spacing w:val="5"/>
      <w:sz w:val="22"/>
    </w:rPr>
  </w:style>
  <w:style w:type="character" w:customStyle="1" w:styleId="Heading7Char">
    <w:name w:val="Heading 7 Char"/>
    <w:basedOn w:val="DefaultParagraphFont"/>
    <w:link w:val="Heading7"/>
    <w:uiPriority w:val="9"/>
    <w:semiHidden/>
    <w:rsid w:val="00A03AC1"/>
    <w:rPr>
      <w:b/>
      <w:smallCaps/>
      <w:color w:val="E97132" w:themeColor="accent2"/>
      <w:spacing w:val="10"/>
    </w:rPr>
  </w:style>
  <w:style w:type="character" w:customStyle="1" w:styleId="Heading8Char">
    <w:name w:val="Heading 8 Char"/>
    <w:basedOn w:val="DefaultParagraphFont"/>
    <w:link w:val="Heading8"/>
    <w:uiPriority w:val="9"/>
    <w:semiHidden/>
    <w:rsid w:val="00A03AC1"/>
    <w:rPr>
      <w:b/>
      <w:i/>
      <w:smallCaps/>
      <w:color w:val="BF4E14" w:themeColor="accent2" w:themeShade="BF"/>
    </w:rPr>
  </w:style>
  <w:style w:type="character" w:customStyle="1" w:styleId="Heading9Char">
    <w:name w:val="Heading 9 Char"/>
    <w:basedOn w:val="DefaultParagraphFont"/>
    <w:link w:val="Heading9"/>
    <w:uiPriority w:val="9"/>
    <w:semiHidden/>
    <w:rsid w:val="00A03AC1"/>
    <w:rPr>
      <w:b/>
      <w:i/>
      <w:smallCaps/>
      <w:color w:val="7F340D" w:themeColor="accent2" w:themeShade="7F"/>
    </w:rPr>
  </w:style>
  <w:style w:type="paragraph" w:styleId="Title">
    <w:name w:val="Title"/>
    <w:basedOn w:val="Normal"/>
    <w:next w:val="Normal"/>
    <w:link w:val="TitleChar"/>
    <w:uiPriority w:val="10"/>
    <w:qFormat/>
    <w:rsid w:val="00A03AC1"/>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03AC1"/>
    <w:rPr>
      <w:smallCaps/>
      <w:sz w:val="48"/>
      <w:szCs w:val="48"/>
    </w:rPr>
  </w:style>
  <w:style w:type="paragraph" w:styleId="Subtitle">
    <w:name w:val="Subtitle"/>
    <w:basedOn w:val="Normal"/>
    <w:next w:val="Normal"/>
    <w:link w:val="SubtitleChar"/>
    <w:uiPriority w:val="11"/>
    <w:qFormat/>
    <w:rsid w:val="00A03AC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03AC1"/>
    <w:rPr>
      <w:rFonts w:asciiTheme="majorHAnsi" w:eastAsiaTheme="majorEastAsia" w:hAnsiTheme="majorHAnsi" w:cstheme="majorBidi"/>
      <w:szCs w:val="22"/>
    </w:rPr>
  </w:style>
  <w:style w:type="paragraph" w:styleId="Quote">
    <w:name w:val="Quote"/>
    <w:basedOn w:val="Normal"/>
    <w:next w:val="Normal"/>
    <w:link w:val="QuoteChar"/>
    <w:uiPriority w:val="29"/>
    <w:qFormat/>
    <w:rsid w:val="00A03AC1"/>
    <w:rPr>
      <w:i/>
    </w:rPr>
  </w:style>
  <w:style w:type="character" w:customStyle="1" w:styleId="QuoteChar">
    <w:name w:val="Quote Char"/>
    <w:basedOn w:val="DefaultParagraphFont"/>
    <w:link w:val="Quote"/>
    <w:uiPriority w:val="29"/>
    <w:rsid w:val="00A03AC1"/>
    <w:rPr>
      <w:i/>
    </w:rPr>
  </w:style>
  <w:style w:type="paragraph" w:styleId="ListParagraph">
    <w:name w:val="List Paragraph"/>
    <w:basedOn w:val="Normal"/>
    <w:uiPriority w:val="34"/>
    <w:qFormat/>
    <w:rsid w:val="00A03AC1"/>
    <w:pPr>
      <w:ind w:left="720"/>
      <w:contextualSpacing/>
    </w:pPr>
  </w:style>
  <w:style w:type="character" w:styleId="IntenseEmphasis">
    <w:name w:val="Intense Emphasis"/>
    <w:uiPriority w:val="21"/>
    <w:qFormat/>
    <w:rsid w:val="00A03AC1"/>
    <w:rPr>
      <w:b/>
      <w:i/>
      <w:color w:val="E97132" w:themeColor="accent2"/>
      <w:spacing w:val="10"/>
    </w:rPr>
  </w:style>
  <w:style w:type="paragraph" w:styleId="IntenseQuote">
    <w:name w:val="Intense Quote"/>
    <w:basedOn w:val="Normal"/>
    <w:next w:val="Normal"/>
    <w:link w:val="IntenseQuoteChar"/>
    <w:uiPriority w:val="30"/>
    <w:qFormat/>
    <w:rsid w:val="00A03AC1"/>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03AC1"/>
    <w:rPr>
      <w:b/>
      <w:i/>
      <w:color w:val="FFFFFF" w:themeColor="background1"/>
      <w:shd w:val="clear" w:color="auto" w:fill="E97132" w:themeFill="accent2"/>
    </w:rPr>
  </w:style>
  <w:style w:type="character" w:styleId="IntenseReference">
    <w:name w:val="Intense Reference"/>
    <w:uiPriority w:val="32"/>
    <w:qFormat/>
    <w:rsid w:val="00A03AC1"/>
    <w:rPr>
      <w:b/>
      <w:bCs/>
      <w:smallCaps/>
      <w:spacing w:val="5"/>
      <w:sz w:val="22"/>
      <w:szCs w:val="22"/>
      <w:u w:val="single"/>
    </w:rPr>
  </w:style>
  <w:style w:type="paragraph" w:styleId="Header">
    <w:name w:val="header"/>
    <w:basedOn w:val="Normal"/>
    <w:link w:val="HeaderChar"/>
    <w:uiPriority w:val="99"/>
    <w:unhideWhenUsed/>
    <w:rsid w:val="00D60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E6"/>
    <w:rPr>
      <w:rFonts w:eastAsiaTheme="minorEastAsia"/>
      <w:kern w:val="0"/>
      <w:sz w:val="20"/>
      <w:szCs w:val="20"/>
      <w14:ligatures w14:val="none"/>
    </w:rPr>
  </w:style>
  <w:style w:type="paragraph" w:styleId="Footer">
    <w:name w:val="footer"/>
    <w:basedOn w:val="Normal"/>
    <w:link w:val="FooterChar"/>
    <w:uiPriority w:val="99"/>
    <w:unhideWhenUsed/>
    <w:rsid w:val="00D60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E6"/>
    <w:rPr>
      <w:rFonts w:eastAsiaTheme="minorEastAsia"/>
      <w:kern w:val="0"/>
      <w:sz w:val="20"/>
      <w:szCs w:val="20"/>
      <w14:ligatures w14:val="none"/>
    </w:rPr>
  </w:style>
  <w:style w:type="paragraph" w:styleId="NormalWeb">
    <w:name w:val="Normal (Web)"/>
    <w:basedOn w:val="Normal"/>
    <w:uiPriority w:val="99"/>
    <w:unhideWhenUsed/>
    <w:rsid w:val="00D604E6"/>
    <w:pPr>
      <w:spacing w:before="100" w:beforeAutospacing="1" w:after="100" w:afterAutospacing="1" w:line="240" w:lineRule="auto"/>
    </w:pPr>
    <w:rPr>
      <w:rFonts w:ascii="Times New Roman" w:eastAsia="Times New Roman" w:hAnsi="Times New Roman" w:cs="Times New Roman"/>
    </w:rPr>
  </w:style>
  <w:style w:type="paragraph" w:styleId="NoSpacing">
    <w:name w:val="No Spacing"/>
    <w:basedOn w:val="Normal"/>
    <w:link w:val="NoSpacingChar"/>
    <w:uiPriority w:val="1"/>
    <w:qFormat/>
    <w:rsid w:val="00A03AC1"/>
    <w:pPr>
      <w:spacing w:after="0" w:line="240" w:lineRule="auto"/>
    </w:pPr>
  </w:style>
  <w:style w:type="character" w:customStyle="1" w:styleId="NoSpacingChar">
    <w:name w:val="No Spacing Char"/>
    <w:basedOn w:val="DefaultParagraphFont"/>
    <w:link w:val="NoSpacing"/>
    <w:uiPriority w:val="1"/>
    <w:rsid w:val="00A03AC1"/>
  </w:style>
  <w:style w:type="character" w:styleId="BookTitle">
    <w:name w:val="Book Title"/>
    <w:uiPriority w:val="33"/>
    <w:qFormat/>
    <w:rsid w:val="00A03AC1"/>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D604E6"/>
    <w:rPr>
      <w:color w:val="467886" w:themeColor="hyperlink"/>
      <w:u w:val="single"/>
    </w:rPr>
  </w:style>
  <w:style w:type="paragraph" w:styleId="Caption">
    <w:name w:val="caption"/>
    <w:basedOn w:val="Normal"/>
    <w:next w:val="Normal"/>
    <w:uiPriority w:val="35"/>
    <w:semiHidden/>
    <w:unhideWhenUsed/>
    <w:qFormat/>
    <w:rsid w:val="00A03AC1"/>
    <w:rPr>
      <w:b/>
      <w:bCs/>
      <w:caps/>
      <w:sz w:val="16"/>
      <w:szCs w:val="18"/>
    </w:rPr>
  </w:style>
  <w:style w:type="character" w:styleId="Strong">
    <w:name w:val="Strong"/>
    <w:uiPriority w:val="22"/>
    <w:qFormat/>
    <w:rsid w:val="00A03AC1"/>
    <w:rPr>
      <w:b/>
      <w:color w:val="E97132" w:themeColor="accent2"/>
    </w:rPr>
  </w:style>
  <w:style w:type="character" w:styleId="Emphasis">
    <w:name w:val="Emphasis"/>
    <w:uiPriority w:val="20"/>
    <w:qFormat/>
    <w:rsid w:val="00A03AC1"/>
    <w:rPr>
      <w:b/>
      <w:i/>
      <w:spacing w:val="10"/>
    </w:rPr>
  </w:style>
  <w:style w:type="character" w:styleId="SubtleEmphasis">
    <w:name w:val="Subtle Emphasis"/>
    <w:uiPriority w:val="19"/>
    <w:qFormat/>
    <w:rsid w:val="00A03AC1"/>
    <w:rPr>
      <w:i/>
    </w:rPr>
  </w:style>
  <w:style w:type="character" w:styleId="SubtleReference">
    <w:name w:val="Subtle Reference"/>
    <w:uiPriority w:val="31"/>
    <w:qFormat/>
    <w:rsid w:val="00A03AC1"/>
    <w:rPr>
      <w:b/>
    </w:rPr>
  </w:style>
  <w:style w:type="paragraph" w:styleId="TOCHeading">
    <w:name w:val="TOC Heading"/>
    <w:basedOn w:val="Heading1"/>
    <w:next w:val="Normal"/>
    <w:uiPriority w:val="39"/>
    <w:semiHidden/>
    <w:unhideWhenUsed/>
    <w:qFormat/>
    <w:rsid w:val="00A03AC1"/>
    <w:pPr>
      <w:outlineLvl w:val="9"/>
    </w:pPr>
  </w:style>
  <w:style w:type="table" w:styleId="TableGrid">
    <w:name w:val="Table Grid"/>
    <w:basedOn w:val="TableNormal"/>
    <w:uiPriority w:val="39"/>
    <w:rsid w:val="00893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FD7BD-1299-B146-B4C0-A720066A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Hazyk Obaid</dc:creator>
  <cp:keywords/>
  <dc:description/>
  <cp:lastModifiedBy>Hafizi, Shariq</cp:lastModifiedBy>
  <cp:revision>9</cp:revision>
  <cp:lastPrinted>2025-10-19T18:47:00Z</cp:lastPrinted>
  <dcterms:created xsi:type="dcterms:W3CDTF">2025-10-19T02:46:00Z</dcterms:created>
  <dcterms:modified xsi:type="dcterms:W3CDTF">2025-10-23T00:46:00Z</dcterms:modified>
</cp:coreProperties>
</file>