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2FBC" w14:textId="568BEA3D" w:rsidR="000C4987" w:rsidRPr="000C4987" w:rsidRDefault="00A03AC1" w:rsidP="008531E5">
      <w:pPr>
        <w:spacing w:before="120"/>
        <w:jc w:val="center"/>
        <w:rPr>
          <w:rFonts w:ascii="Cambria" w:hAnsi="Cambria"/>
          <w:color w:val="000000" w:themeColor="text1"/>
          <w:sz w:val="40"/>
          <w:szCs w:val="40"/>
        </w:rPr>
      </w:pPr>
      <w:r w:rsidRPr="000C4987">
        <w:rPr>
          <w:rFonts w:ascii="Cambria" w:eastAsia="Times New Roman" w:hAnsi="Cambria"/>
          <w:b/>
          <w:bCs/>
          <w:noProof/>
          <w:color w:val="0C1B44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03BD7" wp14:editId="4E01DD2B">
                <wp:simplePos x="0" y="0"/>
                <wp:positionH relativeFrom="column">
                  <wp:posOffset>-132460</wp:posOffset>
                </wp:positionH>
                <wp:positionV relativeFrom="paragraph">
                  <wp:posOffset>438227</wp:posOffset>
                </wp:positionV>
                <wp:extent cx="7152830" cy="0"/>
                <wp:effectExtent l="0" t="12700" r="22860" b="12700"/>
                <wp:wrapNone/>
                <wp:docPr id="930817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28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3F09A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45pt,34.5pt" to="552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" strokecolor="black [3213]" strokeweight="2pt">
                <v:stroke joinstyle="miter"/>
              </v:line>
            </w:pict>
          </mc:Fallback>
        </mc:AlternateContent>
      </w:r>
      <w:r w:rsidRPr="000C4987">
        <w:rPr>
          <w:rFonts w:ascii="Cambria" w:eastAsia="Times New Roman" w:hAnsi="Cambria"/>
          <w:b/>
          <w:bCs/>
          <w:color w:val="0C1B44"/>
          <w:sz w:val="40"/>
          <w:szCs w:val="40"/>
        </w:rPr>
        <w:t>Ind</w:t>
      </w:r>
      <w:r w:rsidRPr="00A03AC1">
        <w:rPr>
          <w:rFonts w:ascii="Cambria" w:eastAsia="Times New Roman" w:hAnsi="Cambria"/>
          <w:b/>
          <w:bCs/>
          <w:color w:val="0C1B44"/>
          <w:sz w:val="40"/>
          <w:szCs w:val="40"/>
        </w:rPr>
        <w:t>ustry Overview – [Industry Name]</w:t>
      </w:r>
    </w:p>
    <w:p w14:paraId="1C914054" w14:textId="3D242235" w:rsidR="00893E02" w:rsidRPr="000C4987" w:rsidRDefault="00893E02" w:rsidP="00FC3FD7">
      <w:pPr>
        <w:pStyle w:val="NormalWeb"/>
        <w:jc w:val="left"/>
        <w:rPr>
          <w:rStyle w:val="NoSpacingChar"/>
        </w:rPr>
      </w:pPr>
      <w:r w:rsidRPr="00893E02">
        <w:rPr>
          <w:b/>
          <w:bCs/>
          <w:color w:val="0C1B44"/>
          <w:sz w:val="32"/>
          <w:szCs w:val="32"/>
        </w:rPr>
        <w:t>Market Overview</w:t>
      </w:r>
      <w:r w:rsidRPr="00893E02">
        <w:rPr>
          <w:color w:val="0C1B44"/>
          <w:sz w:val="24"/>
          <w:szCs w:val="24"/>
        </w:rPr>
        <w:br/>
      </w:r>
      <w:r w:rsidRPr="000C4987">
        <w:rPr>
          <w:rStyle w:val="NoSpacingChar"/>
        </w:rPr>
        <w:t>This report provides a concise overview of the [industry name] sector, highlighting market performance, consolidation trends, and investment characteristics relevant to Alka Oaks Partners’ acquisition criteria.</w:t>
      </w:r>
    </w:p>
    <w:p w14:paraId="6F4B230E" w14:textId="77777777" w:rsidR="000C4987" w:rsidRPr="000C4987" w:rsidRDefault="00893E02" w:rsidP="000C4987">
      <w:pPr>
        <w:pStyle w:val="NormalWeb"/>
        <w:spacing w:before="0" w:beforeAutospacing="0" w:after="0" w:afterAutospacing="0" w:line="276" w:lineRule="auto"/>
        <w:jc w:val="left"/>
        <w:rPr>
          <w:b/>
          <w:bCs/>
          <w:color w:val="0C1B44"/>
          <w:sz w:val="32"/>
          <w:szCs w:val="32"/>
        </w:rPr>
      </w:pPr>
      <w:r w:rsidRPr="000C4987">
        <w:rPr>
          <w:b/>
          <w:bCs/>
          <w:color w:val="0C1B44"/>
          <w:sz w:val="32"/>
          <w:szCs w:val="32"/>
        </w:rPr>
        <w:t>Industry Consolidation</w:t>
      </w:r>
    </w:p>
    <w:p w14:paraId="520C766F" w14:textId="3FB71FC8" w:rsidR="00893E02" w:rsidRPr="00893E02" w:rsidRDefault="00893E02" w:rsidP="000C4987">
      <w:pPr>
        <w:pStyle w:val="NormalWeb"/>
        <w:spacing w:before="0" w:beforeAutospacing="0" w:after="0" w:afterAutospacing="0"/>
        <w:jc w:val="left"/>
        <w:rPr>
          <w:rStyle w:val="NoSpacingChar"/>
          <w:b/>
          <w:bCs/>
          <w:sz w:val="24"/>
          <w:szCs w:val="24"/>
        </w:rPr>
      </w:pPr>
      <w:r w:rsidRPr="00893E02">
        <w:rPr>
          <w:rStyle w:val="NoSpacingChar"/>
        </w:rPr>
        <w:t>Highly fragmented, offering significant roll-up opportunities for private investors targeting specialized clinics.</w:t>
      </w:r>
    </w:p>
    <w:p w14:paraId="4E735BFF" w14:textId="3625D1FF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Barriers to Entry</w:t>
      </w:r>
      <w:r w:rsidRPr="00893E02">
        <w:rPr>
          <w:rFonts w:ascii="Times New Roman" w:eastAsia="Times New Roman" w:hAnsi="Times New Roman" w:cs="Times New Roman"/>
          <w:sz w:val="32"/>
          <w:szCs w:val="32"/>
        </w:rPr>
        <w:br/>
      </w:r>
      <w:r>
        <w:t>Moderate—regulatory compliance and licensing requirements are offset by stable patient demand and high retention.</w:t>
      </w:r>
    </w:p>
    <w:p w14:paraId="3A9D19C8" w14:textId="7B86763E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Cash Flow Characteristics</w:t>
      </w:r>
      <w:r w:rsidRPr="00893E02">
        <w:rPr>
          <w:rFonts w:ascii="Times New Roman" w:eastAsia="Times New Roman" w:hAnsi="Times New Roman" w:cs="Times New Roman"/>
          <w:sz w:val="24"/>
          <w:szCs w:val="24"/>
        </w:rPr>
        <w:br/>
      </w:r>
      <w:r>
        <w:t>Recurring revenue through insurance reimbursements and long-term patient relationships. Low cyclicality and consistent profitability.</w:t>
      </w:r>
    </w:p>
    <w:p w14:paraId="37F2E6D2" w14:textId="3D0D7A24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Technological Adaptation</w:t>
      </w:r>
      <w:r w:rsidRPr="00893E02">
        <w:rPr>
          <w:rFonts w:ascii="Times New Roman" w:eastAsia="Times New Roman" w:hAnsi="Times New Roman" w:cs="Times New Roman"/>
          <w:sz w:val="24"/>
          <w:szCs w:val="24"/>
        </w:rPr>
        <w:br/>
      </w:r>
      <w:r>
        <w:t>Rapid telehealth adoption and AI-based diagnostics improving operational efficiency.</w:t>
      </w:r>
    </w:p>
    <w:p w14:paraId="7C8DE5F8" w14:textId="1E38B4A3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Key Investment Insight</w:t>
      </w:r>
      <w:r w:rsidRPr="00893E02">
        <w:rPr>
          <w:rFonts w:ascii="Times New Roman" w:eastAsia="Times New Roman" w:hAnsi="Times New Roman" w:cs="Times New Roman"/>
          <w:sz w:val="24"/>
          <w:szCs w:val="24"/>
        </w:rPr>
        <w:br/>
      </w:r>
      <w:r>
        <w:t>Resilient, recession-proof sector with scalable acquisition models and predictable returns.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0"/>
        <w:gridCol w:w="5420"/>
      </w:tblGrid>
      <w:tr w:rsidR="00893E02" w14:paraId="71D30975" w14:textId="77777777" w:rsidTr="00FC3FD7">
        <w:tc>
          <w:tcPr>
            <w:tcW w:w="5395" w:type="dxa"/>
          </w:tcPr>
          <w:p w14:paraId="60F4F630" w14:textId="175EF7BD" w:rsidR="00893E02" w:rsidRDefault="00893E02"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3152BF0A" wp14:editId="1FF62D0B">
                  <wp:extent cx="3284112" cy="1565910"/>
                  <wp:effectExtent l="12700" t="12700" r="18415" b="8890"/>
                  <wp:docPr id="64378154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112" cy="15659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0957C6C" w14:textId="40217B4B" w:rsidR="00893E02" w:rsidRDefault="00893E02"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5F83CFE6" wp14:editId="7C948C0A">
                  <wp:extent cx="3309871" cy="1565910"/>
                  <wp:effectExtent l="12700" t="12700" r="17780" b="8890"/>
                  <wp:docPr id="611500411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868" cy="1614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E02" w14:paraId="3B3ACD6A" w14:textId="77777777" w:rsidTr="00FC3FD7">
        <w:trPr>
          <w:trHeight w:val="251"/>
        </w:trPr>
        <w:tc>
          <w:tcPr>
            <w:tcW w:w="5395" w:type="dxa"/>
          </w:tcPr>
          <w:p w14:paraId="481EBF9F" w14:textId="1EF2D8EF" w:rsidR="00893E02" w:rsidRPr="00FC3FD7" w:rsidRDefault="00FC3FD7" w:rsidP="00FC3FD7">
            <w:pPr>
              <w:pStyle w:val="NormalWeb"/>
              <w:rPr>
                <w:bCs/>
                <w:iCs/>
              </w:rPr>
            </w:pPr>
            <w:r w:rsidRPr="00FC3FD7">
              <w:rPr>
                <w:rFonts w:asciiTheme="minorHAnsi" w:eastAsiaTheme="minorEastAsia" w:hAnsiTheme="minorHAnsi" w:cstheme="minorBidi"/>
                <w:bCs/>
                <w:iCs/>
              </w:rPr>
              <w:t>Figure 1: Placeholder area for industry growth and valuation graphs.</w:t>
            </w:r>
          </w:p>
        </w:tc>
        <w:tc>
          <w:tcPr>
            <w:tcW w:w="5395" w:type="dxa"/>
          </w:tcPr>
          <w:p w14:paraId="5EAA02D0" w14:textId="0BE95AB6" w:rsidR="00893E02" w:rsidRPr="00FC3FD7" w:rsidRDefault="00FC3FD7" w:rsidP="00FC3FD7">
            <w:pPr>
              <w:pStyle w:val="NormalWeb"/>
            </w:pPr>
            <w:r w:rsidRPr="00FC3FD7">
              <w:rPr>
                <w:rFonts w:asciiTheme="minorHAnsi" w:eastAsiaTheme="minorEastAsia" w:hAnsiTheme="minorHAnsi" w:cstheme="minorBidi"/>
              </w:rPr>
              <w:t>Figure 2: Placeholder area for market segmentation or performance charts.</w:t>
            </w:r>
          </w:p>
        </w:tc>
      </w:tr>
    </w:tbl>
    <w:p w14:paraId="0E4B3110" w14:textId="2476A3CB" w:rsidR="00A03AC1" w:rsidRDefault="000C4987" w:rsidP="000C49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9A65C" wp14:editId="3F5C8B38">
                <wp:simplePos x="0" y="0"/>
                <wp:positionH relativeFrom="column">
                  <wp:posOffset>-46990</wp:posOffset>
                </wp:positionH>
                <wp:positionV relativeFrom="paragraph">
                  <wp:posOffset>228490</wp:posOffset>
                </wp:positionV>
                <wp:extent cx="1416676" cy="0"/>
                <wp:effectExtent l="0" t="0" r="6350" b="12700"/>
                <wp:wrapNone/>
                <wp:docPr id="13887105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67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D0265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8pt" to="107.8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</w:p>
    <w:p w14:paraId="1046157D" w14:textId="1E74C630" w:rsidR="000C4987" w:rsidRPr="00FC3FD7" w:rsidRDefault="000C4987" w:rsidP="00FC3FD7">
      <w:pPr>
        <w:pStyle w:val="ListParagraph"/>
        <w:spacing w:after="0" w:line="240" w:lineRule="auto"/>
        <w:ind w:left="0"/>
        <w:jc w:val="left"/>
        <w:rPr>
          <w:sz w:val="16"/>
          <w:szCs w:val="16"/>
        </w:rPr>
      </w:pPr>
      <w:r w:rsidRPr="00FC3FD7">
        <w:rPr>
          <w:sz w:val="16"/>
          <w:szCs w:val="16"/>
        </w:rPr>
        <w:t>¹ Deloitte Insights, “U.S. Middle-Market Services Outlook 2025,” accessed October 2025.</w:t>
      </w:r>
      <w:r w:rsidRPr="00FC3FD7">
        <w:rPr>
          <w:sz w:val="16"/>
          <w:szCs w:val="16"/>
        </w:rPr>
        <w:br/>
        <w:t>² PwC Research, “Trends in Private Equity &amp; Professional Services,” accessed October 2025.</w:t>
      </w:r>
      <w:r w:rsidRPr="00FC3FD7">
        <w:rPr>
          <w:sz w:val="16"/>
          <w:szCs w:val="16"/>
        </w:rPr>
        <w:br/>
        <w:t>³ McKinsey &amp; Company, “Operational Efficiency in B2B Service Models,” accessed September 2025.</w:t>
      </w:r>
      <w:r w:rsidRPr="00FC3FD7">
        <w:rPr>
          <w:sz w:val="16"/>
          <w:szCs w:val="16"/>
        </w:rPr>
        <w:br/>
        <w:t>⁴ Bain Capital Analytics, “Digital Transformation and Recurring Revenue Trends,” accessed October 2025.</w:t>
      </w:r>
      <w:r w:rsidRPr="00FC3FD7">
        <w:rPr>
          <w:sz w:val="16"/>
          <w:szCs w:val="16"/>
        </w:rPr>
        <w:br/>
        <w:t xml:space="preserve">⁵ IBISWorld, “U.S. Compliance &amp; </w:t>
      </w:r>
      <w:proofErr w:type="spellStart"/>
      <w:r w:rsidRPr="00FC3FD7">
        <w:rPr>
          <w:sz w:val="16"/>
          <w:szCs w:val="16"/>
        </w:rPr>
        <w:t>RegTech</w:t>
      </w:r>
      <w:proofErr w:type="spellEnd"/>
      <w:r w:rsidRPr="00FC3FD7">
        <w:rPr>
          <w:sz w:val="16"/>
          <w:szCs w:val="16"/>
        </w:rPr>
        <w:t xml:space="preserve"> Industry Report,” accessed September 2025.</w:t>
      </w:r>
      <w:r w:rsidRPr="00FC3FD7">
        <w:rPr>
          <w:sz w:val="16"/>
          <w:szCs w:val="16"/>
        </w:rPr>
        <w:br/>
        <w:t>⁶ KPMG Intelligence, “Healthcare Services Market Overview 2025,” accessed October 2025.</w:t>
      </w:r>
      <w:r w:rsidRPr="00FC3FD7">
        <w:rPr>
          <w:sz w:val="16"/>
          <w:szCs w:val="16"/>
        </w:rPr>
        <w:br/>
        <w:t>⁷ Statista, “Technology Adoption Rates in Mid-Market Firms,” accessed September 2025.</w:t>
      </w:r>
    </w:p>
    <w:p w14:paraId="1870DDB1" w14:textId="532521BA" w:rsidR="00A03AC1" w:rsidRDefault="008531E5" w:rsidP="008531E5">
      <w:pPr>
        <w:jc w:val="left"/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86A23" wp14:editId="328247E4">
                <wp:simplePos x="0" y="0"/>
                <wp:positionH relativeFrom="column">
                  <wp:posOffset>-454660</wp:posOffset>
                </wp:positionH>
                <wp:positionV relativeFrom="paragraph">
                  <wp:posOffset>341630</wp:posOffset>
                </wp:positionV>
                <wp:extent cx="7889875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9875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B1F4" id="Rectangle 3" o:spid="_x0000_s1026" style="position:absolute;margin-left:-35.8pt;margin-top:26.9pt;width:621.2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" fillcolor="#0c1b44" strokecolor="#030e13 [484]" strokeweight="1.5pt"/>
            </w:pict>
          </mc:Fallback>
        </mc:AlternateContent>
      </w:r>
      <w:r w:rsidR="00FC3FD7"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77FEE" wp14:editId="4B0C50BD">
                <wp:simplePos x="0" y="0"/>
                <wp:positionH relativeFrom="column">
                  <wp:posOffset>334645</wp:posOffset>
                </wp:positionH>
                <wp:positionV relativeFrom="paragraph">
                  <wp:posOffset>437041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0C978" w14:textId="77777777" w:rsidR="00A03AC1" w:rsidRPr="00D1026B" w:rsidRDefault="00A03AC1" w:rsidP="00A03AC1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1100 Congress Avenue | Austin, TX 78701      </w:t>
                            </w:r>
                            <w:hyperlink r:id="rId11" w:history="1">
                              <w:r w:rsidRPr="00D1026B">
                                <w:rPr>
                                  <w:rStyle w:val="Hyperlink"/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www.alkaoakspartners.com</w:t>
                              </w:r>
                            </w:hyperlink>
                            <w:r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contact@alkaoakspartners.com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77FE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.35pt;margin-top:34.4pt;width:501.75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CuULYblAAAADwEAAA8AAAAAAAAAAAAAAAAAcQQAAGRycy9kb3ducmV2Lnht&#13;&#10;bFBLBQYAAAAABAAEAPMAAACDBQAAAAA=&#13;&#10;" filled="f" stroked="f" strokeweight=".5pt">
                <v:textbox>
                  <w:txbxContent>
                    <w:p w14:paraId="1C20C978" w14:textId="77777777" w:rsidR="00A03AC1" w:rsidRPr="00D1026B" w:rsidRDefault="00A03AC1" w:rsidP="00A03AC1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1100 Congress Avenue | Austin, TX 78701      </w:t>
                      </w:r>
                      <w:hyperlink r:id="rId12" w:history="1">
                        <w:r w:rsidRPr="00D1026B">
                          <w:rPr>
                            <w:rStyle w:val="Hyperlink"/>
                            <w:color w:val="FFFFFF" w:themeColor="background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www.alkaoakspartners.com</w:t>
                        </w:r>
                      </w:hyperlink>
                      <w:r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contact@alkaoakspartners.com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3AC1" w:rsidSect="00A03AC1">
      <w:headerReference w:type="default" r:id="rId13"/>
      <w:footerReference w:type="default" r:id="rId14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3DB2C" w14:textId="77777777" w:rsidR="00B118DC" w:rsidRDefault="00B118DC" w:rsidP="00A03AC1">
      <w:pPr>
        <w:spacing w:after="0" w:line="240" w:lineRule="auto"/>
      </w:pPr>
      <w:r>
        <w:separator/>
      </w:r>
    </w:p>
  </w:endnote>
  <w:endnote w:type="continuationSeparator" w:id="0">
    <w:p w14:paraId="5954D3C2" w14:textId="77777777" w:rsidR="00B118DC" w:rsidRDefault="00B118DC" w:rsidP="00A0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0AC89" w14:textId="77777777" w:rsidR="00D604E6" w:rsidRDefault="00D604E6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68B15" w14:textId="77777777" w:rsidR="00B118DC" w:rsidRDefault="00B118DC" w:rsidP="00A03AC1">
      <w:pPr>
        <w:spacing w:after="0" w:line="240" w:lineRule="auto"/>
      </w:pPr>
      <w:r>
        <w:separator/>
      </w:r>
    </w:p>
  </w:footnote>
  <w:footnote w:type="continuationSeparator" w:id="0">
    <w:p w14:paraId="26AB4FF6" w14:textId="77777777" w:rsidR="00B118DC" w:rsidRDefault="00B118DC" w:rsidP="00A0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7A05F" w14:textId="77777777" w:rsidR="00D604E6" w:rsidRDefault="00D604E6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6FCF935A" wp14:editId="2D39DAA8">
          <wp:extent cx="2515870" cy="1272397"/>
          <wp:effectExtent l="0" t="0" r="0" b="0"/>
          <wp:docPr id="972058179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4"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73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1799A"/>
    <w:multiLevelType w:val="multilevel"/>
    <w:tmpl w:val="CFE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1092">
    <w:abstractNumId w:val="0"/>
  </w:num>
  <w:num w:numId="2" w16cid:durableId="906691938">
    <w:abstractNumId w:val="1"/>
  </w:num>
  <w:num w:numId="3" w16cid:durableId="168717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E6"/>
    <w:rsid w:val="00067AF7"/>
    <w:rsid w:val="000C4987"/>
    <w:rsid w:val="00822D4B"/>
    <w:rsid w:val="008531E5"/>
    <w:rsid w:val="00893E02"/>
    <w:rsid w:val="00A01611"/>
    <w:rsid w:val="00A03AC1"/>
    <w:rsid w:val="00B118DC"/>
    <w:rsid w:val="00CA0EE5"/>
    <w:rsid w:val="00D604E6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BC43"/>
  <w15:chartTrackingRefBased/>
  <w15:docId w15:val="{46AF689C-1137-EA45-BD8F-CE9D231A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C1"/>
  </w:style>
  <w:style w:type="paragraph" w:styleId="Heading1">
    <w:name w:val="heading 1"/>
    <w:basedOn w:val="Normal"/>
    <w:next w:val="Normal"/>
    <w:link w:val="Heading1Char"/>
    <w:uiPriority w:val="9"/>
    <w:qFormat/>
    <w:rsid w:val="00A03A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AC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A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AC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AC1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AC1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AC1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AC1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AC1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AC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A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A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AC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AC1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AC1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AC1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AC1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AC1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03AC1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3AC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AC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3AC1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A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03AC1"/>
    <w:rPr>
      <w:i/>
    </w:rPr>
  </w:style>
  <w:style w:type="paragraph" w:styleId="ListParagraph">
    <w:name w:val="List Paragraph"/>
    <w:basedOn w:val="Normal"/>
    <w:uiPriority w:val="34"/>
    <w:qFormat/>
    <w:rsid w:val="00A03AC1"/>
    <w:pPr>
      <w:ind w:left="720"/>
      <w:contextualSpacing/>
    </w:pPr>
  </w:style>
  <w:style w:type="character" w:styleId="IntenseEmphasis">
    <w:name w:val="Intense Emphasis"/>
    <w:uiPriority w:val="21"/>
    <w:qFormat/>
    <w:rsid w:val="00A03AC1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AC1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AC1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A03AC1"/>
    <w:rPr>
      <w:b/>
      <w:bCs/>
      <w:smallCaps/>
      <w:spacing w:val="5"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4E6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4E6"/>
    <w:rPr>
      <w:rFonts w:eastAsiaTheme="minorEastAsia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D6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basedOn w:val="Normal"/>
    <w:link w:val="NoSpacingChar"/>
    <w:uiPriority w:val="1"/>
    <w:qFormat/>
    <w:rsid w:val="00A03A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3AC1"/>
  </w:style>
  <w:style w:type="character" w:styleId="BookTitle">
    <w:name w:val="Book Title"/>
    <w:uiPriority w:val="33"/>
    <w:qFormat/>
    <w:rsid w:val="00A03AC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04E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AC1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A03AC1"/>
    <w:rPr>
      <w:b/>
      <w:color w:val="E97132" w:themeColor="accent2"/>
    </w:rPr>
  </w:style>
  <w:style w:type="character" w:styleId="Emphasis">
    <w:name w:val="Emphasis"/>
    <w:uiPriority w:val="20"/>
    <w:qFormat/>
    <w:rsid w:val="00A03AC1"/>
    <w:rPr>
      <w:b/>
      <w:i/>
      <w:spacing w:val="10"/>
    </w:rPr>
  </w:style>
  <w:style w:type="character" w:styleId="SubtleEmphasis">
    <w:name w:val="Subtle Emphasis"/>
    <w:uiPriority w:val="19"/>
    <w:qFormat/>
    <w:rsid w:val="00A03AC1"/>
    <w:rPr>
      <w:i/>
    </w:rPr>
  </w:style>
  <w:style w:type="character" w:styleId="SubtleReference">
    <w:name w:val="Subtle Reference"/>
    <w:uiPriority w:val="31"/>
    <w:qFormat/>
    <w:rsid w:val="00A03AC1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AC1"/>
    <w:pPr>
      <w:outlineLvl w:val="9"/>
    </w:pPr>
  </w:style>
  <w:style w:type="table" w:styleId="TableGrid">
    <w:name w:val="Table Grid"/>
    <w:basedOn w:val="TableNormal"/>
    <w:uiPriority w:val="39"/>
    <w:rsid w:val="0089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kaoakspartner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kaoakspartner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EFD7BD-1299-B146-B4C0-A720066A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328</Words>
  <Characters>1380</Characters>
  <Application>Microsoft Office Word</Application>
  <DocSecurity>0</DocSecurity>
  <Lines>197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Hazyk Obaid</cp:lastModifiedBy>
  <cp:revision>1</cp:revision>
  <cp:lastPrinted>2025-10-19T18:47:00Z</cp:lastPrinted>
  <dcterms:created xsi:type="dcterms:W3CDTF">2025-10-19T02:46:00Z</dcterms:created>
  <dcterms:modified xsi:type="dcterms:W3CDTF">2025-10-19T18:47:00Z</dcterms:modified>
</cp:coreProperties>
</file>