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Alka Oaks Partners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WHY WORK WITH US</w:t>
      </w:r>
    </w:p>
    <w:p>
      <w:r>
        <w:t xml:space="preserve">Shariq Hafizi and Hazyk Obaid bring a unique blend of financial acumen and technology passion to the table. With backgrounds spanning investment banking, private equity, and tech-focused funds, their expertise is complemented by a shared vision for scalable business models. They are not just investors, but catalysts of innovation and inclusion, ready to transform small businesses into sector leaders.</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FUND INVESTMENT CRITERIA</w:t>
      </w:r>
    </w:p>
    <w:p>
      <w:r>
        <w:t xml:space="preserve">Our focus is on acquiring small businesses with a strong financial foundation, specifically those with annual revenue of $5 million or more. This criterion is not arbitrary but rooted in our keen understanding of the growth trajectories of such businesses. We believe that these are the enterprises poised for significant scalability, with the right strategic guidance and financial backing.</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INDUSTRIES WE SERVE</w:t>
      </w:r>
    </w:p>
    <w:p>
      <w:r>
        <w:t xml:space="preserve">Software and B2B SaaS are our primary targets, given our collective experience and the explosive growth potential in these sectors. We're particularly excited about AI-driven solutions and cloud-based services, where we see significant opportunities for strategic acquisitions. We're also keen on Fintech, an industry at the forefront of financial inclusion and innovation. Our third focus area is EdTech, a sector that perfectly aligns with our passion for creating access and opportunities through technology.</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OUR STORIES</w:t>
      </w:r>
    </w:p>
    <w:p>
      <w:r>
        <w:t xml:space="preserve">Shariq and Hazyk first crossed paths at UT Austin, where a shared class sparked a bond over finance and technology. Their similar backgrounds yet diverse experiences created a dynamic partnership, each complementing the other's expertise. Together, they navigated complex investment landscapes, weathered market downturns, and celebrated successful deals. Their connection transcends professional boundaries, making them more than just co-founders - they're a formidable team united by a shared vision.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1900 Market Street,  8th Floor, Philadelphia, Pennsylvania </w:t>
        <w:tab/>
        <w:tab/>
        <w:tab/>
        <w:tab/>
        <w:t xml:space="preserve">https://www.alkaoaks.com/</w:t>
        <w:tab/>
        <w:tab/>
        <w:tab/>
        <w:tab/>
        <w:tab/>
        <w:t xml:space="preserve">charlesg@alkaoaks.com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