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Men’s Singles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Men’s Doubles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Women’s Singles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Rules: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Each match consists of best of 3 games of 21 points each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All matches will be knockout style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Referee's decision would be final. Any abusing of the same would lead to disqualification of that team from the tie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the case of any conflict, the final decision lies in the hands of the Organiser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case of handicap, the points decided by the referee will be final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Reg Fees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Rs 500 per person in singles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Rs 800 per team in doubles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5. Money it would cost to conduct events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Prize Money + ??? refs (will contact chakri for 50th Inter IIT estimates) + ??? shuttles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Prize Money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Men’s Singles: Winner - 15k Runner 7.5k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Men’s Doubles: Winner - 20k Runner 10k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Women’s Singles: Winner - 15k Runner 7.5k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Target Audience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Players in various training academies (can be reached through contacts of coaches) and colleges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Additional Info: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Will contact a Yonex dealer for sponsorship (and shuttles)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Time 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4 days (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Thursday to Sunday)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Expecting a max of 64 entries in each div. </w:t>
        <w:br w:type="textWrapping"/>
        <w:tab/>
        <w:t xml:space="preserve">Day 1 Round of 64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Day 2 Round of 32,16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Day 3 Round of 8 and Semis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Day 4 Finals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  <w:tab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