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66C7B" w14:textId="77777777" w:rsidR="006974A0" w:rsidRPr="00C6476B" w:rsidRDefault="00B66D3F">
      <w:pPr>
        <w:spacing w:before="140" w:after="40"/>
        <w:jc w:val="center"/>
        <w:rPr>
          <w:rFonts w:ascii="Times New Roman" w:hAnsi="Times New Roman" w:cs="Times New Roman"/>
          <w:sz w:val="24"/>
          <w:szCs w:val="24"/>
        </w:rPr>
      </w:pPr>
      <w:r w:rsidRPr="00C6476B">
        <w:rPr>
          <w:rFonts w:ascii="Times New Roman" w:hAnsi="Times New Roman" w:cs="Times New Roman"/>
          <w:b/>
          <w:bCs/>
          <w:color w:val="4B2D8F"/>
          <w:sz w:val="24"/>
          <w:szCs w:val="24"/>
        </w:rPr>
        <w:t>Clinical Natural Language Technology for Health Care</w:t>
      </w:r>
    </w:p>
    <w:p w14:paraId="704C7995" w14:textId="77777777" w:rsidR="006974A0" w:rsidRPr="00C6476B" w:rsidRDefault="00B66D3F">
      <w:pPr>
        <w:spacing w:after="40"/>
        <w:jc w:val="center"/>
        <w:rPr>
          <w:rFonts w:ascii="Times New Roman" w:hAnsi="Times New Roman" w:cs="Times New Roman"/>
          <w:sz w:val="24"/>
          <w:szCs w:val="24"/>
        </w:rPr>
      </w:pPr>
      <w:r w:rsidRPr="00C6476B">
        <w:rPr>
          <w:rFonts w:ascii="Times New Roman" w:hAnsi="Times New Roman" w:cs="Times New Roman"/>
          <w:i/>
          <w:iCs/>
          <w:color w:val="555555"/>
          <w:sz w:val="24"/>
          <w:szCs w:val="24"/>
        </w:rPr>
        <w:t>Past, Present, and Future Approaches: NLP, OCR, Computer Vision, LLM, and LMM</w:t>
      </w:r>
    </w:p>
    <w:p w14:paraId="40E12D3C" w14:textId="60FC390A" w:rsidR="006974A0" w:rsidRPr="00C6476B" w:rsidRDefault="00B66D3F">
      <w:pPr>
        <w:pBdr>
          <w:bottom w:val="single" w:sz="6" w:space="6" w:color="4B2D8F"/>
        </w:pBdr>
        <w:spacing w:after="180"/>
        <w:jc w:val="center"/>
        <w:rPr>
          <w:rFonts w:ascii="Times New Roman" w:hAnsi="Times New Roman" w:cs="Times New Roman"/>
          <w:sz w:val="24"/>
          <w:szCs w:val="24"/>
        </w:rPr>
      </w:pPr>
      <w:r w:rsidRPr="00C6476B">
        <w:rPr>
          <w:rFonts w:ascii="Times New Roman" w:hAnsi="Times New Roman" w:cs="Times New Roman"/>
          <w:color w:val="555555"/>
          <w:sz w:val="24"/>
          <w:szCs w:val="24"/>
        </w:rPr>
        <w:t xml:space="preserve">Shrihan </w:t>
      </w:r>
      <w:r w:rsidR="00F708F3" w:rsidRPr="00C6476B">
        <w:rPr>
          <w:rFonts w:ascii="Times New Roman" w:hAnsi="Times New Roman" w:cs="Times New Roman"/>
          <w:color w:val="555555"/>
          <w:sz w:val="24"/>
          <w:szCs w:val="24"/>
        </w:rPr>
        <w:t>Anikapati | ECE</w:t>
      </w:r>
      <w:r w:rsidRPr="00C6476B">
        <w:rPr>
          <w:rFonts w:ascii="Times New Roman" w:hAnsi="Times New Roman" w:cs="Times New Roman"/>
          <w:color w:val="555555"/>
          <w:sz w:val="24"/>
          <w:szCs w:val="24"/>
        </w:rPr>
        <w:t xml:space="preserve"> Honors &amp; Mathematics, Finance </w:t>
      </w:r>
      <w:r w:rsidR="00F708F3" w:rsidRPr="00C6476B">
        <w:rPr>
          <w:rFonts w:ascii="Times New Roman" w:hAnsi="Times New Roman" w:cs="Times New Roman"/>
          <w:color w:val="555555"/>
          <w:sz w:val="24"/>
          <w:szCs w:val="24"/>
        </w:rPr>
        <w:t>Minor | The</w:t>
      </w:r>
      <w:r w:rsidRPr="00C6476B">
        <w:rPr>
          <w:rFonts w:ascii="Times New Roman" w:hAnsi="Times New Roman" w:cs="Times New Roman"/>
          <w:color w:val="555555"/>
          <w:sz w:val="24"/>
          <w:szCs w:val="24"/>
        </w:rPr>
        <w:t xml:space="preserve"> University of Texas at Austin</w:t>
      </w:r>
    </w:p>
    <w:p w14:paraId="1991240D" w14:textId="77777777" w:rsidR="006974A0" w:rsidRPr="00C6476B" w:rsidRDefault="00B66D3F">
      <w:pPr>
        <w:pStyle w:val="Heading1"/>
        <w:rPr>
          <w:rFonts w:ascii="Times New Roman" w:hAnsi="Times New Roman" w:cs="Times New Roman"/>
          <w:sz w:val="24"/>
          <w:szCs w:val="24"/>
        </w:rPr>
      </w:pPr>
      <w:r w:rsidRPr="00C6476B">
        <w:rPr>
          <w:rFonts w:ascii="Times New Roman" w:hAnsi="Times New Roman" w:cs="Times New Roman"/>
          <w:sz w:val="24"/>
          <w:szCs w:val="24"/>
        </w:rPr>
        <w:t>Defining Clinical Natural Language Technology</w:t>
      </w:r>
    </w:p>
    <w:p w14:paraId="7020C49C" w14:textId="77777777" w:rsidR="006974A0" w:rsidRPr="00C6476B" w:rsidRDefault="00B66D3F">
      <w:pPr>
        <w:spacing w:after="90"/>
        <w:jc w:val="both"/>
        <w:rPr>
          <w:rFonts w:ascii="Times New Roman" w:hAnsi="Times New Roman" w:cs="Times New Roman"/>
          <w:sz w:val="24"/>
          <w:szCs w:val="24"/>
        </w:rPr>
      </w:pPr>
      <w:r w:rsidRPr="00C6476B">
        <w:rPr>
          <w:rFonts w:ascii="Times New Roman" w:hAnsi="Times New Roman" w:cs="Times New Roman"/>
          <w:sz w:val="24"/>
          <w:szCs w:val="24"/>
        </w:rPr>
        <w:t xml:space="preserve">Clinical Natural Language Technology (clinical NLT) refers to computational methods that allow machines to read, interpret, and act on human language in healthcare settings. The field spans several technique generations: rule-based </w:t>
      </w:r>
      <w:r w:rsidRPr="00C6476B">
        <w:rPr>
          <w:rFonts w:ascii="Times New Roman" w:hAnsi="Times New Roman" w:cs="Times New Roman"/>
          <w:b/>
          <w:bCs/>
          <w:sz w:val="24"/>
          <w:szCs w:val="24"/>
        </w:rPr>
        <w:t>Natural Language Processing (NLP)</w:t>
      </w:r>
      <w:r w:rsidRPr="00C6476B">
        <w:rPr>
          <w:rFonts w:ascii="Times New Roman" w:hAnsi="Times New Roman" w:cs="Times New Roman"/>
          <w:sz w:val="24"/>
          <w:szCs w:val="24"/>
        </w:rPr>
        <w:t xml:space="preserve"> that matched physician notes against medical vocabularies; </w:t>
      </w:r>
      <w:r w:rsidRPr="00C6476B">
        <w:rPr>
          <w:rFonts w:ascii="Times New Roman" w:hAnsi="Times New Roman" w:cs="Times New Roman"/>
          <w:b/>
          <w:bCs/>
          <w:sz w:val="24"/>
          <w:szCs w:val="24"/>
        </w:rPr>
        <w:t>Optical Character Recognition (OCR)</w:t>
      </w:r>
      <w:r w:rsidRPr="00C6476B">
        <w:rPr>
          <w:rFonts w:ascii="Times New Roman" w:hAnsi="Times New Roman" w:cs="Times New Roman"/>
          <w:sz w:val="24"/>
          <w:szCs w:val="24"/>
        </w:rPr>
        <w:t xml:space="preserve"> that converted paper records into machine-readable text; </w:t>
      </w:r>
      <w:r w:rsidRPr="00C6476B">
        <w:rPr>
          <w:rFonts w:ascii="Times New Roman" w:hAnsi="Times New Roman" w:cs="Times New Roman"/>
          <w:b/>
          <w:bCs/>
          <w:sz w:val="24"/>
          <w:szCs w:val="24"/>
        </w:rPr>
        <w:t>Computer Vision (CV)</w:t>
      </w:r>
      <w:r w:rsidRPr="00C6476B">
        <w:rPr>
          <w:rFonts w:ascii="Times New Roman" w:hAnsi="Times New Roman" w:cs="Times New Roman"/>
          <w:sz w:val="24"/>
          <w:szCs w:val="24"/>
        </w:rPr>
        <w:t xml:space="preserve"> applied to radiology images and scanned forms; and, most recently, </w:t>
      </w:r>
      <w:r w:rsidRPr="00C6476B">
        <w:rPr>
          <w:rFonts w:ascii="Times New Roman" w:hAnsi="Times New Roman" w:cs="Times New Roman"/>
          <w:b/>
          <w:bCs/>
          <w:sz w:val="24"/>
          <w:szCs w:val="24"/>
        </w:rPr>
        <w:t>Large Language Models (LLMs) and Large Multimodal Models (LMMs)</w:t>
      </w:r>
      <w:r w:rsidRPr="00C6476B">
        <w:rPr>
          <w:rFonts w:ascii="Times New Roman" w:hAnsi="Times New Roman" w:cs="Times New Roman"/>
          <w:sz w:val="24"/>
          <w:szCs w:val="24"/>
        </w:rPr>
        <w:t xml:space="preserve"> that reason across structured and unstructured data simultaneously. Healthcare imposes uniquely demanding requirements on these systems: clinical language is dense with abbre</w:t>
      </w:r>
      <w:r w:rsidRPr="00C6476B">
        <w:rPr>
          <w:rFonts w:ascii="Times New Roman" w:hAnsi="Times New Roman" w:cs="Times New Roman"/>
          <w:sz w:val="24"/>
          <w:szCs w:val="24"/>
        </w:rPr>
        <w:t>viations, negations, and coding standards (ICD-10, SNOMED CT, CPT), where a single misread negation in a physician note carries direct financial and compliance consequences.</w:t>
      </w:r>
    </w:p>
    <w:p w14:paraId="34239639" w14:textId="77777777" w:rsidR="006974A0" w:rsidRPr="00C6476B" w:rsidRDefault="00B66D3F">
      <w:pPr>
        <w:pStyle w:val="Heading1"/>
        <w:rPr>
          <w:rFonts w:ascii="Times New Roman" w:hAnsi="Times New Roman" w:cs="Times New Roman"/>
          <w:sz w:val="24"/>
          <w:szCs w:val="24"/>
        </w:rPr>
      </w:pPr>
      <w:r w:rsidRPr="00C6476B">
        <w:rPr>
          <w:rFonts w:ascii="Times New Roman" w:hAnsi="Times New Roman" w:cs="Times New Roman"/>
          <w:sz w:val="24"/>
          <w:szCs w:val="24"/>
        </w:rPr>
        <w:t>Relevant Trends</w:t>
      </w:r>
    </w:p>
    <w:p w14:paraId="5446E4CB" w14:textId="77777777" w:rsidR="006974A0" w:rsidRPr="00C6476B" w:rsidRDefault="00B66D3F">
      <w:pPr>
        <w:pStyle w:val="Heading2"/>
        <w:rPr>
          <w:rFonts w:ascii="Times New Roman" w:hAnsi="Times New Roman" w:cs="Times New Roman"/>
          <w:sz w:val="24"/>
          <w:szCs w:val="24"/>
        </w:rPr>
      </w:pPr>
      <w:r w:rsidRPr="00C6476B">
        <w:rPr>
          <w:rFonts w:ascii="Times New Roman" w:hAnsi="Times New Roman" w:cs="Times New Roman"/>
          <w:sz w:val="24"/>
          <w:szCs w:val="24"/>
        </w:rPr>
        <w:t>From Rule-Based Systems to Foundation Models</w:t>
      </w:r>
    </w:p>
    <w:p w14:paraId="3EC422A7" w14:textId="14A8E4D0" w:rsidR="006974A0" w:rsidRPr="00C6476B" w:rsidRDefault="00B66D3F">
      <w:pPr>
        <w:spacing w:after="90"/>
        <w:jc w:val="both"/>
        <w:rPr>
          <w:rFonts w:ascii="Times New Roman" w:hAnsi="Times New Roman" w:cs="Times New Roman"/>
          <w:sz w:val="24"/>
          <w:szCs w:val="24"/>
        </w:rPr>
      </w:pPr>
      <w:r w:rsidRPr="00C6476B">
        <w:rPr>
          <w:rFonts w:ascii="Times New Roman" w:hAnsi="Times New Roman" w:cs="Times New Roman"/>
          <w:sz w:val="24"/>
          <w:szCs w:val="24"/>
        </w:rPr>
        <w:t>Clinical NLT has evolved through three generations. First-generation tools (1990s to 2010s) such as cTAKES and MedLEE used curated lexicons. Second-generation models like BioBERT and ClinicalBERT introduced transformer architectures and biomedical pre-training. The current generation centers on instruction-tuned LLMs such as Med-PaLM 2 and BioMistral, capable of few-shot extraction and cross-modal reasoning without task-specific retraining. This shift is reshaping the market: NLP in Healthcare and Life Scie</w:t>
      </w:r>
      <w:r w:rsidRPr="00C6476B">
        <w:rPr>
          <w:rFonts w:ascii="Times New Roman" w:hAnsi="Times New Roman" w:cs="Times New Roman"/>
          <w:sz w:val="24"/>
          <w:szCs w:val="24"/>
        </w:rPr>
        <w:t>nces is projected to grow from $5.18 billion in 2025 to $16.01 billion</w:t>
      </w:r>
      <w:r w:rsidR="00044607" w:rsidRPr="00C6476B">
        <w:rPr>
          <w:rFonts w:ascii="Times New Roman" w:hAnsi="Times New Roman" w:cs="Times New Roman"/>
          <w:sz w:val="24"/>
          <w:szCs w:val="24"/>
        </w:rPr>
        <w:t xml:space="preserve"> </w:t>
      </w:r>
      <w:r w:rsidRPr="00C6476B">
        <w:rPr>
          <w:rFonts w:ascii="Times New Roman" w:hAnsi="Times New Roman" w:cs="Times New Roman"/>
          <w:sz w:val="24"/>
          <w:szCs w:val="24"/>
        </w:rPr>
        <w:t xml:space="preserve">by 2030 at a 25.3% CAGR, </w:t>
      </w:r>
      <w:r w:rsidR="00044607" w:rsidRPr="00C6476B">
        <w:rPr>
          <w:rFonts w:ascii="Times New Roman" w:hAnsi="Times New Roman" w:cs="Times New Roman"/>
          <w:sz w:val="24"/>
          <w:szCs w:val="24"/>
        </w:rPr>
        <w:t>stimulated</w:t>
      </w:r>
      <w:r w:rsidRPr="00C6476B">
        <w:rPr>
          <w:rFonts w:ascii="Times New Roman" w:hAnsi="Times New Roman" w:cs="Times New Roman"/>
          <w:sz w:val="24"/>
          <w:szCs w:val="24"/>
        </w:rPr>
        <w:t xml:space="preserve"> by ambient clinical intelligence and AI-powered documentation automation (MarketsandMarkets, 2025).</w:t>
      </w:r>
    </w:p>
    <w:p w14:paraId="05723185" w14:textId="77777777" w:rsidR="006974A0" w:rsidRPr="00C6476B" w:rsidRDefault="00B66D3F">
      <w:pPr>
        <w:pStyle w:val="Heading2"/>
        <w:rPr>
          <w:rFonts w:ascii="Times New Roman" w:hAnsi="Times New Roman" w:cs="Times New Roman"/>
          <w:sz w:val="24"/>
          <w:szCs w:val="24"/>
        </w:rPr>
      </w:pPr>
      <w:r w:rsidRPr="00C6476B">
        <w:rPr>
          <w:rFonts w:ascii="Times New Roman" w:hAnsi="Times New Roman" w:cs="Times New Roman"/>
          <w:sz w:val="24"/>
          <w:szCs w:val="24"/>
        </w:rPr>
        <w:t>NLP in Payment Integrity and Risk Adjustment</w:t>
      </w:r>
    </w:p>
    <w:p w14:paraId="08E26E6C" w14:textId="77777777" w:rsidR="006974A0" w:rsidRPr="00C6476B" w:rsidRDefault="00B66D3F">
      <w:pPr>
        <w:spacing w:after="90"/>
        <w:jc w:val="both"/>
        <w:rPr>
          <w:rFonts w:ascii="Times New Roman" w:hAnsi="Times New Roman" w:cs="Times New Roman"/>
          <w:sz w:val="24"/>
          <w:szCs w:val="24"/>
        </w:rPr>
      </w:pPr>
      <w:r w:rsidRPr="00C6476B">
        <w:rPr>
          <w:rFonts w:ascii="Times New Roman" w:hAnsi="Times New Roman" w:cs="Times New Roman"/>
          <w:sz w:val="24"/>
          <w:szCs w:val="24"/>
        </w:rPr>
        <w:t>Payers are deploying NLP directly within claims review and risk adjustment workflows. AI-powered tools now cross-reference encounter data against Hierarchical Condition Category (HCC) codes at submission, identifying coding gaps prospectively rather than through retrospective audit. Cotiviti's Post-Visit Review solution operationalizes exactly this capability, using AI and NLP to reconcile clinical encounter data with HCC codes at scale (Cotiviti, 2025a). NLP is also being used to surface anomalous language</w:t>
      </w:r>
      <w:r w:rsidRPr="00C6476B">
        <w:rPr>
          <w:rFonts w:ascii="Times New Roman" w:hAnsi="Times New Roman" w:cs="Times New Roman"/>
          <w:sz w:val="24"/>
          <w:szCs w:val="24"/>
        </w:rPr>
        <w:t xml:space="preserve"> patterns in clinical documentation to detect fraud, waste, and abuse (FWA), a high-stakes application demanding both speed and precision.</w:t>
      </w:r>
    </w:p>
    <w:p w14:paraId="71B2D410" w14:textId="77777777" w:rsidR="006974A0" w:rsidRPr="00C6476B" w:rsidRDefault="00B66D3F">
      <w:pPr>
        <w:pStyle w:val="Heading1"/>
        <w:rPr>
          <w:rFonts w:ascii="Times New Roman" w:hAnsi="Times New Roman" w:cs="Times New Roman"/>
          <w:sz w:val="24"/>
          <w:szCs w:val="24"/>
        </w:rPr>
      </w:pPr>
      <w:r w:rsidRPr="00C6476B">
        <w:rPr>
          <w:rFonts w:ascii="Times New Roman" w:hAnsi="Times New Roman" w:cs="Times New Roman"/>
          <w:sz w:val="24"/>
          <w:szCs w:val="24"/>
        </w:rPr>
        <w:t>Opportunities and Threats</w:t>
      </w:r>
    </w:p>
    <w:p w14:paraId="747E57CE" w14:textId="77777777" w:rsidR="006974A0" w:rsidRPr="00C6476B" w:rsidRDefault="00B66D3F">
      <w:pPr>
        <w:pStyle w:val="Heading2"/>
        <w:rPr>
          <w:rFonts w:ascii="Times New Roman" w:hAnsi="Times New Roman" w:cs="Times New Roman"/>
          <w:sz w:val="24"/>
          <w:szCs w:val="24"/>
        </w:rPr>
      </w:pPr>
      <w:r w:rsidRPr="00C6476B">
        <w:rPr>
          <w:rFonts w:ascii="Times New Roman" w:hAnsi="Times New Roman" w:cs="Times New Roman"/>
          <w:sz w:val="24"/>
          <w:szCs w:val="24"/>
        </w:rPr>
        <w:t>Opportunities</w:t>
      </w:r>
    </w:p>
    <w:p w14:paraId="2DFB6C8D" w14:textId="77777777" w:rsidR="006974A0" w:rsidRPr="00C6476B" w:rsidRDefault="00B66D3F">
      <w:pPr>
        <w:pStyle w:val="ListParagraph"/>
        <w:numPr>
          <w:ilvl w:val="0"/>
          <w:numId w:val="2"/>
        </w:numPr>
        <w:spacing w:after="55"/>
        <w:rPr>
          <w:rFonts w:ascii="Times New Roman" w:hAnsi="Times New Roman" w:cs="Times New Roman"/>
          <w:sz w:val="24"/>
          <w:szCs w:val="24"/>
        </w:rPr>
      </w:pPr>
      <w:r w:rsidRPr="00C6476B">
        <w:rPr>
          <w:rFonts w:ascii="Times New Roman" w:hAnsi="Times New Roman" w:cs="Times New Roman"/>
          <w:b/>
          <w:bCs/>
          <w:sz w:val="24"/>
          <w:szCs w:val="24"/>
        </w:rPr>
        <w:t xml:space="preserve">Unstructured data value: </w:t>
      </w:r>
      <w:r w:rsidRPr="00C6476B">
        <w:rPr>
          <w:rFonts w:ascii="Times New Roman" w:hAnsi="Times New Roman" w:cs="Times New Roman"/>
          <w:sz w:val="24"/>
          <w:szCs w:val="24"/>
        </w:rPr>
        <w:t>Roughly 80% of healthcare data is unstructured. LLMs unlock this value for payment accuracy, quality measurement, and population health analytics that rule-based systems cannot reach.</w:t>
      </w:r>
    </w:p>
    <w:p w14:paraId="21803AA9" w14:textId="77777777" w:rsidR="006974A0" w:rsidRPr="00C6476B" w:rsidRDefault="00B66D3F">
      <w:pPr>
        <w:pStyle w:val="ListParagraph"/>
        <w:numPr>
          <w:ilvl w:val="0"/>
          <w:numId w:val="2"/>
        </w:numPr>
        <w:spacing w:after="55"/>
        <w:rPr>
          <w:rFonts w:ascii="Times New Roman" w:hAnsi="Times New Roman" w:cs="Times New Roman"/>
          <w:sz w:val="24"/>
          <w:szCs w:val="24"/>
        </w:rPr>
      </w:pPr>
      <w:r w:rsidRPr="00C6476B">
        <w:rPr>
          <w:rFonts w:ascii="Times New Roman" w:hAnsi="Times New Roman" w:cs="Times New Roman"/>
          <w:b/>
          <w:bCs/>
          <w:sz w:val="24"/>
          <w:szCs w:val="24"/>
        </w:rPr>
        <w:t xml:space="preserve">Multimodal reasoning: </w:t>
      </w:r>
      <w:r w:rsidRPr="00C6476B">
        <w:rPr>
          <w:rFonts w:ascii="Times New Roman" w:hAnsi="Times New Roman" w:cs="Times New Roman"/>
          <w:sz w:val="24"/>
          <w:szCs w:val="24"/>
        </w:rPr>
        <w:t>LMMs jointly process physician notes, lab results, and imaging in one inference call, enabling holistic documentation audits no prior generation of technology could support.</w:t>
      </w:r>
    </w:p>
    <w:p w14:paraId="4F572C47" w14:textId="77777777" w:rsidR="006974A0" w:rsidRPr="00C6476B" w:rsidRDefault="00B66D3F">
      <w:pPr>
        <w:pStyle w:val="ListParagraph"/>
        <w:numPr>
          <w:ilvl w:val="0"/>
          <w:numId w:val="2"/>
        </w:numPr>
        <w:spacing w:after="55"/>
        <w:rPr>
          <w:rFonts w:ascii="Times New Roman" w:hAnsi="Times New Roman" w:cs="Times New Roman"/>
          <w:sz w:val="24"/>
          <w:szCs w:val="24"/>
        </w:rPr>
      </w:pPr>
      <w:r w:rsidRPr="00C6476B">
        <w:rPr>
          <w:rFonts w:ascii="Times New Roman" w:hAnsi="Times New Roman" w:cs="Times New Roman"/>
          <w:b/>
          <w:bCs/>
          <w:sz w:val="24"/>
          <w:szCs w:val="24"/>
        </w:rPr>
        <w:t xml:space="preserve">Real-time coding accuracy: </w:t>
      </w:r>
      <w:r w:rsidRPr="00C6476B">
        <w:rPr>
          <w:rFonts w:ascii="Times New Roman" w:hAnsi="Times New Roman" w:cs="Times New Roman"/>
          <w:sz w:val="24"/>
          <w:szCs w:val="24"/>
        </w:rPr>
        <w:t>NLP-assisted HCC coding and CPT validation can run continuously at claim volume, far exceeding the consistency of manual audit teams and directly improving payer financial performance.</w:t>
      </w:r>
    </w:p>
    <w:p w14:paraId="5E4A7330" w14:textId="77777777" w:rsidR="006974A0" w:rsidRPr="00C6476B" w:rsidRDefault="00B66D3F">
      <w:pPr>
        <w:pStyle w:val="ListParagraph"/>
        <w:numPr>
          <w:ilvl w:val="0"/>
          <w:numId w:val="2"/>
        </w:numPr>
        <w:spacing w:after="55"/>
        <w:rPr>
          <w:rFonts w:ascii="Times New Roman" w:hAnsi="Times New Roman" w:cs="Times New Roman"/>
          <w:sz w:val="24"/>
          <w:szCs w:val="24"/>
        </w:rPr>
      </w:pPr>
      <w:r w:rsidRPr="00C6476B">
        <w:rPr>
          <w:rFonts w:ascii="Times New Roman" w:hAnsi="Times New Roman" w:cs="Times New Roman"/>
          <w:b/>
          <w:bCs/>
          <w:sz w:val="24"/>
          <w:szCs w:val="24"/>
        </w:rPr>
        <w:lastRenderedPageBreak/>
        <w:t xml:space="preserve">Interoperability: </w:t>
      </w:r>
      <w:r w:rsidRPr="00C6476B">
        <w:rPr>
          <w:rFonts w:ascii="Times New Roman" w:hAnsi="Times New Roman" w:cs="Times New Roman"/>
          <w:sz w:val="24"/>
          <w:szCs w:val="24"/>
        </w:rPr>
        <w:t>FHIR-native NLP pipelines harmonize data across fragmented EHR systems, a capability Cotiviti significantly expanded through its 2025 acquisition of Edifecs (Cotiviti, 2025b).</w:t>
      </w:r>
    </w:p>
    <w:p w14:paraId="6931D8A5" w14:textId="77777777" w:rsidR="006974A0" w:rsidRPr="00C6476B" w:rsidRDefault="00B66D3F">
      <w:pPr>
        <w:pStyle w:val="Heading2"/>
        <w:rPr>
          <w:rFonts w:ascii="Times New Roman" w:hAnsi="Times New Roman" w:cs="Times New Roman"/>
          <w:sz w:val="24"/>
          <w:szCs w:val="24"/>
        </w:rPr>
      </w:pPr>
      <w:r w:rsidRPr="00C6476B">
        <w:rPr>
          <w:rFonts w:ascii="Times New Roman" w:hAnsi="Times New Roman" w:cs="Times New Roman"/>
          <w:sz w:val="24"/>
          <w:szCs w:val="24"/>
        </w:rPr>
        <w:t>Threats</w:t>
      </w:r>
    </w:p>
    <w:p w14:paraId="38511479" w14:textId="77777777" w:rsidR="006974A0" w:rsidRPr="00C6476B" w:rsidRDefault="00B66D3F">
      <w:pPr>
        <w:pStyle w:val="ListParagraph"/>
        <w:numPr>
          <w:ilvl w:val="0"/>
          <w:numId w:val="2"/>
        </w:numPr>
        <w:spacing w:after="55"/>
        <w:rPr>
          <w:rFonts w:ascii="Times New Roman" w:hAnsi="Times New Roman" w:cs="Times New Roman"/>
          <w:sz w:val="24"/>
          <w:szCs w:val="24"/>
        </w:rPr>
      </w:pPr>
      <w:r w:rsidRPr="00C6476B">
        <w:rPr>
          <w:rFonts w:ascii="Times New Roman" w:hAnsi="Times New Roman" w:cs="Times New Roman"/>
          <w:b/>
          <w:bCs/>
          <w:sz w:val="24"/>
          <w:szCs w:val="24"/>
        </w:rPr>
        <w:t xml:space="preserve">Hallucination risk: </w:t>
      </w:r>
      <w:r w:rsidRPr="00C6476B">
        <w:rPr>
          <w:rFonts w:ascii="Times New Roman" w:hAnsi="Times New Roman" w:cs="Times New Roman"/>
          <w:sz w:val="24"/>
          <w:szCs w:val="24"/>
        </w:rPr>
        <w:t>LLMs can produce plausible but factually incorrect output. In payment integrity contexts, a fabricated audit finding carries real legal and financial liability, requiring human-in-the-loop review architectures.</w:t>
      </w:r>
    </w:p>
    <w:p w14:paraId="198B3A54" w14:textId="77777777" w:rsidR="006974A0" w:rsidRPr="00C6476B" w:rsidRDefault="00B66D3F">
      <w:pPr>
        <w:pStyle w:val="ListParagraph"/>
        <w:numPr>
          <w:ilvl w:val="0"/>
          <w:numId w:val="2"/>
        </w:numPr>
        <w:spacing w:after="55"/>
        <w:rPr>
          <w:rFonts w:ascii="Times New Roman" w:hAnsi="Times New Roman" w:cs="Times New Roman"/>
          <w:sz w:val="24"/>
          <w:szCs w:val="24"/>
        </w:rPr>
      </w:pPr>
      <w:r w:rsidRPr="00C6476B">
        <w:rPr>
          <w:rFonts w:ascii="Times New Roman" w:hAnsi="Times New Roman" w:cs="Times New Roman"/>
          <w:b/>
          <w:bCs/>
          <w:sz w:val="24"/>
          <w:szCs w:val="24"/>
        </w:rPr>
        <w:t xml:space="preserve">HIPAA compliance: </w:t>
      </w:r>
      <w:r w:rsidRPr="00C6476B">
        <w:rPr>
          <w:rFonts w:ascii="Times New Roman" w:hAnsi="Times New Roman" w:cs="Times New Roman"/>
          <w:sz w:val="24"/>
          <w:szCs w:val="24"/>
        </w:rPr>
        <w:t>Routing Protected Health Information through cloud-hosted LLMs introduces regulatory risk, often requiring on-premise or private-cloud deployments that add cost and complexity.</w:t>
      </w:r>
    </w:p>
    <w:p w14:paraId="0D49703A" w14:textId="77777777" w:rsidR="006974A0" w:rsidRPr="00C6476B" w:rsidRDefault="00B66D3F">
      <w:pPr>
        <w:pStyle w:val="ListParagraph"/>
        <w:numPr>
          <w:ilvl w:val="0"/>
          <w:numId w:val="2"/>
        </w:numPr>
        <w:spacing w:after="55"/>
        <w:rPr>
          <w:rFonts w:ascii="Times New Roman" w:hAnsi="Times New Roman" w:cs="Times New Roman"/>
          <w:sz w:val="24"/>
          <w:szCs w:val="24"/>
        </w:rPr>
      </w:pPr>
      <w:r w:rsidRPr="00C6476B">
        <w:rPr>
          <w:rFonts w:ascii="Times New Roman" w:hAnsi="Times New Roman" w:cs="Times New Roman"/>
          <w:b/>
          <w:bCs/>
          <w:sz w:val="24"/>
          <w:szCs w:val="24"/>
        </w:rPr>
        <w:t xml:space="preserve">Model bias: </w:t>
      </w:r>
      <w:r w:rsidRPr="00C6476B">
        <w:rPr>
          <w:rFonts w:ascii="Times New Roman" w:hAnsi="Times New Roman" w:cs="Times New Roman"/>
          <w:sz w:val="24"/>
          <w:szCs w:val="24"/>
        </w:rPr>
        <w:t>Models trained on academic medical center data may underperform on records from rural or underserved populations, introducing systematic errors in risk scoring and quality measurement.</w:t>
      </w:r>
    </w:p>
    <w:p w14:paraId="541DFBC8" w14:textId="77777777" w:rsidR="006974A0" w:rsidRPr="00C6476B" w:rsidRDefault="00B66D3F">
      <w:pPr>
        <w:pStyle w:val="Heading1"/>
        <w:rPr>
          <w:rFonts w:ascii="Times New Roman" w:hAnsi="Times New Roman" w:cs="Times New Roman"/>
          <w:sz w:val="24"/>
          <w:szCs w:val="24"/>
        </w:rPr>
      </w:pPr>
      <w:r w:rsidRPr="00C6476B">
        <w:rPr>
          <w:rFonts w:ascii="Times New Roman" w:hAnsi="Times New Roman" w:cs="Times New Roman"/>
          <w:sz w:val="24"/>
          <w:szCs w:val="24"/>
        </w:rPr>
        <w:t>Strategic Recommendations for Cotiviti</w:t>
      </w:r>
    </w:p>
    <w:p w14:paraId="1D510E4F" w14:textId="77777777" w:rsidR="006974A0" w:rsidRPr="00C6476B" w:rsidRDefault="00B66D3F">
      <w:pPr>
        <w:spacing w:after="70"/>
        <w:jc w:val="both"/>
        <w:rPr>
          <w:rFonts w:ascii="Times New Roman" w:hAnsi="Times New Roman" w:cs="Times New Roman"/>
          <w:sz w:val="24"/>
          <w:szCs w:val="24"/>
        </w:rPr>
      </w:pPr>
      <w:r w:rsidRPr="00C6476B">
        <w:rPr>
          <w:rFonts w:ascii="Times New Roman" w:hAnsi="Times New Roman" w:cs="Times New Roman"/>
          <w:sz w:val="24"/>
          <w:szCs w:val="24"/>
        </w:rPr>
        <w:t>Cotiviti's mission to enable a high-quality and viable healthcare system, combined with its depth in payment integrity data and the interoperability infrastructure from the Edifecs acquisition, positions it uniquely to lead the next generation of clinical NLT. Two investments stand out.</w:t>
      </w:r>
    </w:p>
    <w:p w14:paraId="499EC0B2" w14:textId="77777777" w:rsidR="006974A0" w:rsidRPr="00C6476B" w:rsidRDefault="00B66D3F">
      <w:pPr>
        <w:spacing w:after="70"/>
        <w:jc w:val="both"/>
        <w:rPr>
          <w:rFonts w:ascii="Times New Roman" w:hAnsi="Times New Roman" w:cs="Times New Roman"/>
          <w:sz w:val="24"/>
          <w:szCs w:val="24"/>
        </w:rPr>
      </w:pPr>
      <w:r w:rsidRPr="00C6476B">
        <w:rPr>
          <w:rFonts w:ascii="Times New Roman" w:hAnsi="Times New Roman" w:cs="Times New Roman"/>
          <w:b/>
          <w:bCs/>
          <w:sz w:val="24"/>
          <w:szCs w:val="24"/>
        </w:rPr>
        <w:t xml:space="preserve">1. Clinically Fine-Tuned LLM for Prospective Documentation Gap Detection. </w:t>
      </w:r>
      <w:r w:rsidRPr="00C6476B">
        <w:rPr>
          <w:rFonts w:ascii="Times New Roman" w:hAnsi="Times New Roman" w:cs="Times New Roman"/>
          <w:sz w:val="24"/>
          <w:szCs w:val="24"/>
        </w:rPr>
        <w:t>Cotiviti should invest in fine-tuning a domain-specific LLM on its proprietary corpus of encounter data, HCC coding outcomes, and audit decisions. A model trained on this closed-loop signal would identify documentation gaps at claim submission, shifting the value proposition from retrospective audit to prospective accuracy. This extends the logic already validated in Post-Visit Review into a faster, more scalable form that no competitor without Cotiviti's data depth could replicate (Cotiviti, 2025a).</w:t>
      </w:r>
    </w:p>
    <w:p w14:paraId="6A5337E4" w14:textId="77777777" w:rsidR="006974A0" w:rsidRPr="00C6476B" w:rsidRDefault="00B66D3F">
      <w:pPr>
        <w:spacing w:after="70"/>
        <w:jc w:val="both"/>
        <w:rPr>
          <w:rFonts w:ascii="Times New Roman" w:hAnsi="Times New Roman" w:cs="Times New Roman"/>
          <w:sz w:val="24"/>
          <w:szCs w:val="24"/>
        </w:rPr>
      </w:pPr>
      <w:r w:rsidRPr="00C6476B">
        <w:rPr>
          <w:rFonts w:ascii="Times New Roman" w:hAnsi="Times New Roman" w:cs="Times New Roman"/>
          <w:b/>
          <w:bCs/>
          <w:sz w:val="24"/>
          <w:szCs w:val="24"/>
        </w:rPr>
        <w:t xml:space="preserve">2. Responsible AI Framework as a Market Differentiator. </w:t>
      </w:r>
      <w:r w:rsidRPr="00C6476B">
        <w:rPr>
          <w:rFonts w:ascii="Times New Roman" w:hAnsi="Times New Roman" w:cs="Times New Roman"/>
          <w:sz w:val="24"/>
          <w:szCs w:val="24"/>
        </w:rPr>
        <w:t>Cotiviti's leadership has stated that AI should amplify expert judgment rather than replace it (Cotiviti, 2025c). Formalizing this as a published Responsible Clinical AI framework, covering model explainability, clinician review checkpoints, bias monitoring, and audit trails, would directly address health plans' growing liability concerns and reinforce Cotiviti's differentiated values of transparency, authenticity, and accountability (Cotiviti, 2025d). In a market crowded with AI vendors making broad promis</w:t>
      </w:r>
      <w:r w:rsidRPr="00C6476B">
        <w:rPr>
          <w:rFonts w:ascii="Times New Roman" w:hAnsi="Times New Roman" w:cs="Times New Roman"/>
          <w:sz w:val="24"/>
          <w:szCs w:val="24"/>
        </w:rPr>
        <w:t>es, this framework would make Cotiviti the trusted choice.</w:t>
      </w:r>
    </w:p>
    <w:p w14:paraId="15940DC2" w14:textId="77777777" w:rsidR="006974A0" w:rsidRPr="00C6476B" w:rsidRDefault="00B66D3F">
      <w:pPr>
        <w:pStyle w:val="Heading1"/>
        <w:rPr>
          <w:rFonts w:ascii="Times New Roman" w:hAnsi="Times New Roman" w:cs="Times New Roman"/>
          <w:sz w:val="24"/>
          <w:szCs w:val="24"/>
        </w:rPr>
      </w:pPr>
      <w:r w:rsidRPr="00C6476B">
        <w:rPr>
          <w:rFonts w:ascii="Times New Roman" w:hAnsi="Times New Roman" w:cs="Times New Roman"/>
          <w:sz w:val="24"/>
          <w:szCs w:val="24"/>
        </w:rPr>
        <w:t>Why Cotiviti, and What I Can Contribute</w:t>
      </w:r>
    </w:p>
    <w:p w14:paraId="5A76EB66" w14:textId="77777777" w:rsidR="007B68B5" w:rsidRPr="00C6476B" w:rsidRDefault="007B68B5" w:rsidP="007B68B5">
      <w:pPr>
        <w:rPr>
          <w:rFonts w:ascii="Times New Roman" w:hAnsi="Times New Roman" w:cs="Times New Roman"/>
          <w:sz w:val="24"/>
          <w:szCs w:val="24"/>
        </w:rPr>
      </w:pPr>
      <w:r w:rsidRPr="00C6476B">
        <w:rPr>
          <w:rFonts w:ascii="Times New Roman" w:hAnsi="Times New Roman" w:cs="Times New Roman"/>
          <w:sz w:val="24"/>
          <w:szCs w:val="24"/>
        </w:rPr>
        <w:t>What drew me to Cotiviti is that it operates where data quality directly affects both patient outcomes and system financial integrity. Cotiviti’s approach to responsible innovation especially stands out to me: AI as infrastructure that makes expert clinical judgment more effective and scalable, not a substitute for it. Seeing that philosophy reflected in Cotiviti’s leadership at CCC25 and in products like Post-Visit Review confirmed that this is a company working on problems that genuinely matter.</w:t>
      </w:r>
    </w:p>
    <w:p w14:paraId="1F319707" w14:textId="77777777" w:rsidR="007B68B5" w:rsidRPr="00C6476B" w:rsidRDefault="007B68B5" w:rsidP="007B68B5">
      <w:pPr>
        <w:rPr>
          <w:rFonts w:ascii="Times New Roman" w:hAnsi="Times New Roman" w:cs="Times New Roman"/>
          <w:sz w:val="24"/>
          <w:szCs w:val="24"/>
        </w:rPr>
      </w:pPr>
      <w:r w:rsidRPr="00C6476B">
        <w:rPr>
          <w:rFonts w:ascii="Times New Roman" w:hAnsi="Times New Roman" w:cs="Times New Roman"/>
          <w:sz w:val="24"/>
          <w:szCs w:val="24"/>
        </w:rPr>
        <w:t>As an ECE Honors and Mathematics student with a Finance minor at UT Austin, I sit at an intersection that maps directly onto Cotiviti’s work. My engineering and mathematics background, particularly in probability and statistical inference, helps me reason clearly about model reliability, false positive rates, and the real-world consequences of error in a claims context. My finance training adds a business lens: the ability to frame AI investments in terms of ROI, risk exposure, and competitive positioning. My Clinical Report AI Assistant, the Proof of Concept I built for this assessment, reflects that approach by summarizing clinical notes, extracting conditions, medications, and tests, flagging coding and documentation gaps, and supporting interactive Q&amp;A. I am specifically excited to contribute to NLP pipelines, risk adjustment tools, or AI governance work at Cotiviti, areas where I believe the company’s most consequential near-term opportunities lie.</w:t>
      </w:r>
    </w:p>
    <w:p w14:paraId="0BCAB823" w14:textId="77777777" w:rsidR="006974A0" w:rsidRPr="00C6476B" w:rsidRDefault="006974A0">
      <w:pPr>
        <w:rPr>
          <w:rFonts w:ascii="Times New Roman" w:hAnsi="Times New Roman" w:cs="Times New Roman"/>
          <w:sz w:val="24"/>
          <w:szCs w:val="24"/>
        </w:rPr>
        <w:sectPr w:rsidR="006974A0" w:rsidRPr="00C6476B">
          <w:headerReference w:type="default" r:id="rId7"/>
          <w:footerReference w:type="default" r:id="rId8"/>
          <w:pgSz w:w="12240" w:h="15840"/>
          <w:pgMar w:top="1008" w:right="1260" w:bottom="1008" w:left="1260" w:header="708" w:footer="708" w:gutter="0"/>
          <w:cols w:space="720"/>
          <w:docGrid w:linePitch="360"/>
        </w:sectPr>
      </w:pPr>
    </w:p>
    <w:p w14:paraId="7B06DF8B" w14:textId="77777777" w:rsidR="006974A0" w:rsidRPr="00C6476B" w:rsidRDefault="00B66D3F">
      <w:pPr>
        <w:pBdr>
          <w:bottom w:val="single" w:sz="6" w:space="6" w:color="4B2D8F"/>
        </w:pBdr>
        <w:spacing w:before="160" w:after="180"/>
        <w:rPr>
          <w:rFonts w:ascii="Times New Roman" w:hAnsi="Times New Roman" w:cs="Times New Roman"/>
          <w:sz w:val="24"/>
          <w:szCs w:val="24"/>
        </w:rPr>
      </w:pPr>
      <w:r w:rsidRPr="00C6476B">
        <w:rPr>
          <w:rFonts w:ascii="Times New Roman" w:hAnsi="Times New Roman" w:cs="Times New Roman"/>
          <w:b/>
          <w:bCs/>
          <w:color w:val="4B2D8F"/>
          <w:sz w:val="24"/>
          <w:szCs w:val="24"/>
        </w:rPr>
        <w:lastRenderedPageBreak/>
        <w:t>References</w:t>
      </w:r>
    </w:p>
    <w:p w14:paraId="51BAC69D" w14:textId="77777777" w:rsidR="006974A0" w:rsidRPr="00C6476B" w:rsidRDefault="00B66D3F">
      <w:pPr>
        <w:spacing w:after="140"/>
        <w:ind w:left="720" w:hanging="720"/>
        <w:rPr>
          <w:rFonts w:ascii="Times New Roman" w:hAnsi="Times New Roman" w:cs="Times New Roman"/>
          <w:sz w:val="24"/>
          <w:szCs w:val="24"/>
        </w:rPr>
      </w:pPr>
      <w:r w:rsidRPr="00C6476B">
        <w:rPr>
          <w:rFonts w:ascii="Times New Roman" w:hAnsi="Times New Roman" w:cs="Times New Roman"/>
          <w:sz w:val="24"/>
          <w:szCs w:val="24"/>
        </w:rPr>
        <w:t>Cotiviti. (2025a). Post-visit review: AI and NLP for risk adjustment. Cotiviti. https://www.cotiviti.com/solutions/risk-adjustment</w:t>
      </w:r>
    </w:p>
    <w:p w14:paraId="05625D44" w14:textId="77777777" w:rsidR="006974A0" w:rsidRPr="00C6476B" w:rsidRDefault="00B66D3F">
      <w:pPr>
        <w:spacing w:after="140"/>
        <w:ind w:left="720" w:hanging="720"/>
        <w:rPr>
          <w:rFonts w:ascii="Times New Roman" w:hAnsi="Times New Roman" w:cs="Times New Roman"/>
          <w:sz w:val="24"/>
          <w:szCs w:val="24"/>
        </w:rPr>
      </w:pPr>
      <w:r w:rsidRPr="00C6476B">
        <w:rPr>
          <w:rFonts w:ascii="Times New Roman" w:hAnsi="Times New Roman" w:cs="Times New Roman"/>
          <w:sz w:val="24"/>
          <w:szCs w:val="24"/>
        </w:rPr>
        <w:t>Cotiviti. (2025b, March 31). Cotiviti completes acquisition of Edifecs. Cotiviti. https://www.cotiviti.com/press-release/cotiviti-completes-acquisition-of-edifecs</w:t>
      </w:r>
    </w:p>
    <w:p w14:paraId="29A0A038" w14:textId="77777777" w:rsidR="006974A0" w:rsidRPr="00C6476B" w:rsidRDefault="00B66D3F">
      <w:pPr>
        <w:spacing w:after="140"/>
        <w:ind w:left="720" w:hanging="720"/>
        <w:rPr>
          <w:rFonts w:ascii="Times New Roman" w:hAnsi="Times New Roman" w:cs="Times New Roman"/>
          <w:sz w:val="24"/>
          <w:szCs w:val="24"/>
        </w:rPr>
      </w:pPr>
      <w:r w:rsidRPr="00C6476B">
        <w:rPr>
          <w:rFonts w:ascii="Times New Roman" w:hAnsi="Times New Roman" w:cs="Times New Roman"/>
          <w:sz w:val="24"/>
          <w:szCs w:val="24"/>
        </w:rPr>
        <w:t>Cotiviti. (2025c, September). Perform beyond hype: Going beyond buzzwords in healthcare [Video]. Cotiviti Resources. https://resources.cotiviti.com/latest-content/perform-beyond-hype</w:t>
      </w:r>
    </w:p>
    <w:p w14:paraId="122F45C2" w14:textId="77777777" w:rsidR="006974A0" w:rsidRPr="00C6476B" w:rsidRDefault="00B66D3F">
      <w:pPr>
        <w:spacing w:after="140"/>
        <w:ind w:left="720" w:hanging="720"/>
        <w:rPr>
          <w:rFonts w:ascii="Times New Roman" w:hAnsi="Times New Roman" w:cs="Times New Roman"/>
          <w:sz w:val="24"/>
          <w:szCs w:val="24"/>
        </w:rPr>
      </w:pPr>
      <w:r w:rsidRPr="00C6476B">
        <w:rPr>
          <w:rFonts w:ascii="Times New Roman" w:hAnsi="Times New Roman" w:cs="Times New Roman"/>
          <w:sz w:val="24"/>
          <w:szCs w:val="24"/>
        </w:rPr>
        <w:t>Cotiviti. (2025d, June 4). Annual Cotiviti Client Conference focuses on AI, interoperability, and reducing healthcare costs. Cotiviti. https://www.cotiviti.com/annual-cotiviti-client-conference-focuses-on-ai-interoperability-and-reducing-healthcare-costs</w:t>
      </w:r>
    </w:p>
    <w:p w14:paraId="3A93ECE8" w14:textId="77777777" w:rsidR="006974A0" w:rsidRPr="00C6476B" w:rsidRDefault="00B66D3F">
      <w:pPr>
        <w:spacing w:after="140"/>
        <w:ind w:left="720" w:hanging="720"/>
        <w:rPr>
          <w:rFonts w:ascii="Times New Roman" w:hAnsi="Times New Roman" w:cs="Times New Roman"/>
          <w:sz w:val="24"/>
          <w:szCs w:val="24"/>
        </w:rPr>
      </w:pPr>
      <w:r w:rsidRPr="00C6476B">
        <w:rPr>
          <w:rFonts w:ascii="Times New Roman" w:hAnsi="Times New Roman" w:cs="Times New Roman"/>
          <w:sz w:val="24"/>
          <w:szCs w:val="24"/>
        </w:rPr>
        <w:t>Cotiviti. (2025e). Cotiviti named highest-designated leader by Everest Group in the Payment Integrity Solutions PEAK Matrix® Assessment 2025. Cotiviti. https://www.cotiviti.com/knowledge-bank/press-releases</w:t>
      </w:r>
    </w:p>
    <w:p w14:paraId="57F45A6B" w14:textId="77777777" w:rsidR="006974A0" w:rsidRPr="00C6476B" w:rsidRDefault="00B66D3F">
      <w:pPr>
        <w:spacing w:after="140"/>
        <w:ind w:left="720" w:hanging="720"/>
        <w:rPr>
          <w:rFonts w:ascii="Times New Roman" w:hAnsi="Times New Roman" w:cs="Times New Roman"/>
          <w:sz w:val="24"/>
          <w:szCs w:val="24"/>
        </w:rPr>
      </w:pPr>
      <w:r w:rsidRPr="00C6476B">
        <w:rPr>
          <w:rFonts w:ascii="Times New Roman" w:hAnsi="Times New Roman" w:cs="Times New Roman"/>
          <w:sz w:val="24"/>
          <w:szCs w:val="24"/>
        </w:rPr>
        <w:t>Fortune Business Insights. (2026, April 13). NLP in healthcare and life sciences market size, share [2034]. Fortune Business Insights. https://www.fortunebusinessinsights.com/nlp-in-healthcare-and-life-sciences-market-115852</w:t>
      </w:r>
    </w:p>
    <w:p w14:paraId="543DA86A" w14:textId="77777777" w:rsidR="006974A0" w:rsidRPr="00C6476B" w:rsidRDefault="00B66D3F">
      <w:pPr>
        <w:spacing w:after="140"/>
        <w:ind w:left="720" w:hanging="720"/>
        <w:rPr>
          <w:rFonts w:ascii="Times New Roman" w:hAnsi="Times New Roman" w:cs="Times New Roman"/>
          <w:sz w:val="24"/>
          <w:szCs w:val="24"/>
        </w:rPr>
      </w:pPr>
      <w:r w:rsidRPr="00C6476B">
        <w:rPr>
          <w:rFonts w:ascii="Times New Roman" w:hAnsi="Times New Roman" w:cs="Times New Roman"/>
          <w:sz w:val="24"/>
          <w:szCs w:val="24"/>
        </w:rPr>
        <w:t>MarketsandMarkets. (2025). NLP in healthcare &amp; life sciences market by NLP technique, application: Global forecast to 2030. MarketsandMarkets. https://www.marketsandmarkets.com/Market-Reports/healthcare-lifesciences-nlp-market-131821021.html</w:t>
      </w:r>
    </w:p>
    <w:p w14:paraId="5C72D9C6" w14:textId="77777777" w:rsidR="006974A0" w:rsidRPr="00C6476B" w:rsidRDefault="00B66D3F">
      <w:pPr>
        <w:spacing w:after="140"/>
        <w:ind w:left="720" w:hanging="720"/>
        <w:rPr>
          <w:rFonts w:ascii="Times New Roman" w:hAnsi="Times New Roman" w:cs="Times New Roman"/>
          <w:sz w:val="24"/>
          <w:szCs w:val="24"/>
        </w:rPr>
      </w:pPr>
      <w:r w:rsidRPr="00C6476B">
        <w:rPr>
          <w:rFonts w:ascii="Times New Roman" w:hAnsi="Times New Roman" w:cs="Times New Roman"/>
          <w:sz w:val="24"/>
          <w:szCs w:val="24"/>
        </w:rPr>
        <w:t>Medi-Tech Insights. (2025, November 10). NLP in healthcare &amp; life sciences market size, share &amp; growth trends 2025-2030. Medi-Tech Insights. https://meditechinsights.com/nlp-in-healthcare-life-sciences-market/</w:t>
      </w:r>
    </w:p>
    <w:p w14:paraId="3D197704" w14:textId="77777777" w:rsidR="006974A0" w:rsidRPr="00C6476B" w:rsidRDefault="00B66D3F">
      <w:pPr>
        <w:spacing w:after="140"/>
        <w:ind w:left="720" w:hanging="720"/>
        <w:rPr>
          <w:rFonts w:ascii="Times New Roman" w:hAnsi="Times New Roman" w:cs="Times New Roman"/>
          <w:sz w:val="24"/>
          <w:szCs w:val="24"/>
        </w:rPr>
      </w:pPr>
      <w:r w:rsidRPr="00C6476B">
        <w:rPr>
          <w:rFonts w:ascii="Times New Roman" w:hAnsi="Times New Roman" w:cs="Times New Roman"/>
          <w:sz w:val="24"/>
          <w:szCs w:val="24"/>
        </w:rPr>
        <w:t>Toward Healthcare. (2026, February 11). Natural language processing (NLP) in healthcare and life sciences market sizing. Toward Healthcare. https://www.towardshealthcare.com/insights/natural-language-processing-nlp-in-healthcare-and-life-sciences-market-sizing</w:t>
      </w:r>
    </w:p>
    <w:sectPr w:rsidR="006974A0" w:rsidRPr="00C6476B">
      <w:headerReference w:type="default" r:id="rId9"/>
      <w:footerReference w:type="default" r:id="rId10"/>
      <w:pgSz w:w="12240" w:h="15840"/>
      <w:pgMar w:top="1008" w:right="1260" w:bottom="1008"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1B1B5" w14:textId="77777777" w:rsidR="00B66D3F" w:rsidRDefault="00B66D3F">
      <w:r>
        <w:separator/>
      </w:r>
    </w:p>
  </w:endnote>
  <w:endnote w:type="continuationSeparator" w:id="0">
    <w:p w14:paraId="55285162" w14:textId="77777777" w:rsidR="00B66D3F" w:rsidRDefault="00B66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CDE14" w14:textId="77777777" w:rsidR="006974A0" w:rsidRDefault="00B66D3F">
    <w:pPr>
      <w:pBdr>
        <w:top w:val="single" w:sz="8" w:space="1" w:color="4B2D8F"/>
      </w:pBdr>
      <w:spacing w:before="60"/>
      <w:jc w:val="right"/>
    </w:pPr>
    <w:r>
      <w:rPr>
        <w:color w:val="555555"/>
        <w:sz w:val="17"/>
        <w:szCs w:val="17"/>
      </w:rPr>
      <w:t xml:space="preserve">Page </w:t>
    </w:r>
    <w:r>
      <w:rPr>
        <w:color w:val="555555"/>
        <w:sz w:val="17"/>
        <w:szCs w:val="17"/>
      </w:rPr>
      <w:fldChar w:fldCharType="begin"/>
    </w:r>
    <w:r>
      <w:rPr>
        <w:color w:val="555555"/>
        <w:sz w:val="17"/>
        <w:szCs w:val="17"/>
      </w:rPr>
      <w:instrText>PAGE</w:instrText>
    </w:r>
    <w:r>
      <w:rPr>
        <w:color w:val="555555"/>
        <w:sz w:val="17"/>
        <w:szCs w:val="17"/>
      </w:rPr>
      <w:fldChar w:fldCharType="separate"/>
    </w:r>
    <w:r w:rsidR="00AE2FB0">
      <w:rPr>
        <w:noProof/>
        <w:color w:val="555555"/>
        <w:sz w:val="17"/>
        <w:szCs w:val="17"/>
      </w:rPr>
      <w:t>1</w:t>
    </w:r>
    <w:r>
      <w:rPr>
        <w:color w:val="555555"/>
        <w:sz w:val="17"/>
        <w:szCs w:val="17"/>
      </w:rPr>
      <w:fldChar w:fldCharType="end"/>
    </w:r>
    <w:r>
      <w:rPr>
        <w:color w:val="555555"/>
        <w:sz w:val="17"/>
        <w:szCs w:val="17"/>
      </w:rPr>
      <w:t xml:space="preserve"> of 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045E0" w14:textId="748C90A3" w:rsidR="006974A0" w:rsidRDefault="00B66D3F">
    <w:pPr>
      <w:pBdr>
        <w:top w:val="single" w:sz="8" w:space="1" w:color="4B2D8F"/>
      </w:pBdr>
      <w:spacing w:before="60"/>
      <w:jc w:val="right"/>
    </w:pPr>
    <w:r>
      <w:rPr>
        <w:color w:val="555555"/>
        <w:sz w:val="17"/>
        <w:szCs w:val="17"/>
      </w:rPr>
      <w:t xml:space="preserve">Page </w:t>
    </w:r>
    <w:r>
      <w:rPr>
        <w:color w:val="555555"/>
        <w:sz w:val="17"/>
        <w:szCs w:val="17"/>
      </w:rPr>
      <w:fldChar w:fldCharType="begin"/>
    </w:r>
    <w:r>
      <w:rPr>
        <w:color w:val="555555"/>
        <w:sz w:val="17"/>
        <w:szCs w:val="17"/>
      </w:rPr>
      <w:instrText>PAGE</w:instrText>
    </w:r>
    <w:r>
      <w:rPr>
        <w:color w:val="555555"/>
        <w:sz w:val="17"/>
        <w:szCs w:val="17"/>
      </w:rPr>
      <w:fldChar w:fldCharType="separate"/>
    </w:r>
    <w:r w:rsidR="00AE2FB0">
      <w:rPr>
        <w:noProof/>
        <w:color w:val="555555"/>
        <w:sz w:val="17"/>
        <w:szCs w:val="17"/>
      </w:rPr>
      <w:t>3</w:t>
    </w:r>
    <w:r>
      <w:rPr>
        <w:color w:val="555555"/>
        <w:sz w:val="17"/>
        <w:szCs w:val="17"/>
      </w:rPr>
      <w:fldChar w:fldCharType="end"/>
    </w:r>
    <w:r>
      <w:rPr>
        <w:color w:val="555555"/>
        <w:sz w:val="17"/>
        <w:szCs w:val="17"/>
      </w:rPr>
      <w:t xml:space="preserve"> of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38CE0" w14:textId="77777777" w:rsidR="00B66D3F" w:rsidRDefault="00B66D3F">
      <w:r>
        <w:separator/>
      </w:r>
    </w:p>
  </w:footnote>
  <w:footnote w:type="continuationSeparator" w:id="0">
    <w:p w14:paraId="2635213C" w14:textId="77777777" w:rsidR="00B66D3F" w:rsidRDefault="00B66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D581B" w14:textId="77777777" w:rsidR="006974A0" w:rsidRDefault="00B66D3F">
    <w:pPr>
      <w:pBdr>
        <w:bottom w:val="single" w:sz="8" w:space="1" w:color="4B2D8F"/>
      </w:pBdr>
    </w:pPr>
    <w:r>
      <w:rPr>
        <w:b/>
        <w:bCs/>
        <w:color w:val="4B2D8F"/>
        <w:sz w:val="17"/>
        <w:szCs w:val="17"/>
      </w:rPr>
      <w:t>Clinical Natural Language Technology for Health Care</w:t>
    </w:r>
    <w:r>
      <w:rPr>
        <w:color w:val="555555"/>
        <w:sz w:val="17"/>
        <w:szCs w:val="17"/>
      </w:rPr>
      <w:t xml:space="preserve">   |   Shrihan Anikapati   |   The University of Texas at Austin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6D74E" w14:textId="77777777" w:rsidR="006974A0" w:rsidRDefault="00B66D3F">
    <w:pPr>
      <w:pBdr>
        <w:bottom w:val="single" w:sz="8" w:space="1" w:color="4B2D8F"/>
      </w:pBdr>
    </w:pPr>
    <w:r>
      <w:rPr>
        <w:b/>
        <w:bCs/>
        <w:color w:val="4B2D8F"/>
        <w:sz w:val="17"/>
        <w:szCs w:val="17"/>
      </w:rPr>
      <w:t>Clinical Natural Language Technology for Health Care</w:t>
    </w:r>
    <w:r>
      <w:rPr>
        <w:color w:val="555555"/>
        <w:sz w:val="17"/>
        <w:szCs w:val="17"/>
      </w:rPr>
      <w:t xml:space="preserve">   |   Shrihan Anikapati   |   The University of Texas at Austin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1067B6"/>
    <w:multiLevelType w:val="hybridMultilevel"/>
    <w:tmpl w:val="D2A6E08E"/>
    <w:lvl w:ilvl="0" w:tplc="40962B0A">
      <w:start w:val="1"/>
      <w:numFmt w:val="bullet"/>
      <w:lvlText w:val="●"/>
      <w:lvlJc w:val="left"/>
      <w:pPr>
        <w:ind w:left="720" w:hanging="360"/>
      </w:pPr>
    </w:lvl>
    <w:lvl w:ilvl="1" w:tplc="9B966700">
      <w:start w:val="1"/>
      <w:numFmt w:val="bullet"/>
      <w:lvlText w:val="○"/>
      <w:lvlJc w:val="left"/>
      <w:pPr>
        <w:ind w:left="1440" w:hanging="360"/>
      </w:pPr>
    </w:lvl>
    <w:lvl w:ilvl="2" w:tplc="0972A30C">
      <w:start w:val="1"/>
      <w:numFmt w:val="bullet"/>
      <w:lvlText w:val="■"/>
      <w:lvlJc w:val="left"/>
      <w:pPr>
        <w:ind w:left="2160" w:hanging="360"/>
      </w:pPr>
    </w:lvl>
    <w:lvl w:ilvl="3" w:tplc="6D6EB524">
      <w:start w:val="1"/>
      <w:numFmt w:val="bullet"/>
      <w:lvlText w:val="●"/>
      <w:lvlJc w:val="left"/>
      <w:pPr>
        <w:ind w:left="2880" w:hanging="360"/>
      </w:pPr>
    </w:lvl>
    <w:lvl w:ilvl="4" w:tplc="D19A8FCC">
      <w:start w:val="1"/>
      <w:numFmt w:val="bullet"/>
      <w:lvlText w:val="○"/>
      <w:lvlJc w:val="left"/>
      <w:pPr>
        <w:ind w:left="3600" w:hanging="360"/>
      </w:pPr>
    </w:lvl>
    <w:lvl w:ilvl="5" w:tplc="1D8A9ACE">
      <w:start w:val="1"/>
      <w:numFmt w:val="bullet"/>
      <w:lvlText w:val="■"/>
      <w:lvlJc w:val="left"/>
      <w:pPr>
        <w:ind w:left="4320" w:hanging="360"/>
      </w:pPr>
    </w:lvl>
    <w:lvl w:ilvl="6" w:tplc="6D66579E">
      <w:start w:val="1"/>
      <w:numFmt w:val="bullet"/>
      <w:lvlText w:val="●"/>
      <w:lvlJc w:val="left"/>
      <w:pPr>
        <w:ind w:left="5040" w:hanging="360"/>
      </w:pPr>
    </w:lvl>
    <w:lvl w:ilvl="7" w:tplc="AEF45DA0">
      <w:start w:val="1"/>
      <w:numFmt w:val="bullet"/>
      <w:lvlText w:val="●"/>
      <w:lvlJc w:val="left"/>
      <w:pPr>
        <w:ind w:left="5760" w:hanging="360"/>
      </w:pPr>
    </w:lvl>
    <w:lvl w:ilvl="8" w:tplc="1AA218A4">
      <w:start w:val="1"/>
      <w:numFmt w:val="bullet"/>
      <w:lvlText w:val="●"/>
      <w:lvlJc w:val="left"/>
      <w:pPr>
        <w:ind w:left="6480" w:hanging="360"/>
      </w:pPr>
    </w:lvl>
  </w:abstractNum>
  <w:abstractNum w:abstractNumId="1" w15:restartNumberingAfterBreak="0">
    <w:nsid w:val="6DAE6BB7"/>
    <w:multiLevelType w:val="hybridMultilevel"/>
    <w:tmpl w:val="220A4672"/>
    <w:lvl w:ilvl="0" w:tplc="17FA2236">
      <w:start w:val="1"/>
      <w:numFmt w:val="bullet"/>
      <w:lvlText w:val="•"/>
      <w:lvlJc w:val="left"/>
      <w:pPr>
        <w:ind w:left="540" w:hanging="270"/>
      </w:pPr>
    </w:lvl>
    <w:lvl w:ilvl="1" w:tplc="D8968B80">
      <w:numFmt w:val="decimal"/>
      <w:lvlText w:val=""/>
      <w:lvlJc w:val="left"/>
    </w:lvl>
    <w:lvl w:ilvl="2" w:tplc="1666BFDE">
      <w:numFmt w:val="decimal"/>
      <w:lvlText w:val=""/>
      <w:lvlJc w:val="left"/>
    </w:lvl>
    <w:lvl w:ilvl="3" w:tplc="5F70D210">
      <w:numFmt w:val="decimal"/>
      <w:lvlText w:val=""/>
      <w:lvlJc w:val="left"/>
    </w:lvl>
    <w:lvl w:ilvl="4" w:tplc="354C08C2">
      <w:numFmt w:val="decimal"/>
      <w:lvlText w:val=""/>
      <w:lvlJc w:val="left"/>
    </w:lvl>
    <w:lvl w:ilvl="5" w:tplc="42E225F6">
      <w:numFmt w:val="decimal"/>
      <w:lvlText w:val=""/>
      <w:lvlJc w:val="left"/>
    </w:lvl>
    <w:lvl w:ilvl="6" w:tplc="9D1E18A4">
      <w:numFmt w:val="decimal"/>
      <w:lvlText w:val=""/>
      <w:lvlJc w:val="left"/>
    </w:lvl>
    <w:lvl w:ilvl="7" w:tplc="D2E2CAA2">
      <w:numFmt w:val="decimal"/>
      <w:lvlText w:val=""/>
      <w:lvlJc w:val="left"/>
    </w:lvl>
    <w:lvl w:ilvl="8" w:tplc="262CB2D8">
      <w:numFmt w:val="decimal"/>
      <w:lvlText w:val=""/>
      <w:lvlJc w:val="left"/>
    </w:lvl>
  </w:abstractNum>
  <w:num w:numId="1" w16cid:durableId="513541139">
    <w:abstractNumId w:val="0"/>
    <w:lvlOverride w:ilvl="0">
      <w:startOverride w:val="1"/>
    </w:lvlOverride>
  </w:num>
  <w:num w:numId="2" w16cid:durableId="17074114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A0"/>
    <w:rsid w:val="00044607"/>
    <w:rsid w:val="003B4899"/>
    <w:rsid w:val="004258B3"/>
    <w:rsid w:val="00434C4B"/>
    <w:rsid w:val="00601A3A"/>
    <w:rsid w:val="006529B6"/>
    <w:rsid w:val="006974A0"/>
    <w:rsid w:val="007B68B5"/>
    <w:rsid w:val="007D5F8E"/>
    <w:rsid w:val="00803879"/>
    <w:rsid w:val="00AE2FB0"/>
    <w:rsid w:val="00B66D3F"/>
    <w:rsid w:val="00C6476B"/>
    <w:rsid w:val="00D37407"/>
    <w:rsid w:val="00D76108"/>
    <w:rsid w:val="00D84BB6"/>
    <w:rsid w:val="00F46F92"/>
    <w:rsid w:val="00F708F3"/>
    <w:rsid w:val="00FA4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56F7B"/>
  <w15:docId w15:val="{AD4C0179-B4F2-4662-862B-1F0412D23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70"/>
      <w:outlineLvl w:val="0"/>
    </w:pPr>
    <w:rPr>
      <w:b/>
      <w:bCs/>
      <w:color w:val="4B2D8F"/>
      <w:sz w:val="26"/>
      <w:szCs w:val="26"/>
    </w:rPr>
  </w:style>
  <w:style w:type="paragraph" w:styleId="Heading2">
    <w:name w:val="heading 2"/>
    <w:uiPriority w:val="9"/>
    <w:unhideWhenUsed/>
    <w:qFormat/>
    <w:pPr>
      <w:spacing w:before="100" w:after="55"/>
      <w:outlineLvl w:val="1"/>
    </w:pPr>
    <w:rPr>
      <w:b/>
      <w:bCs/>
      <w:color w:val="4B2D8F"/>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2176</TotalTime>
  <Pages>3</Pages>
  <Words>1355</Words>
  <Characters>7728</Characters>
  <Application>Microsoft Office Word</Application>
  <DocSecurity>0</DocSecurity>
  <Lines>64</Lines>
  <Paragraphs>18</Paragraphs>
  <ScaleCrop>false</ScaleCrop>
  <Company/>
  <LinksUpToDate>false</LinksUpToDate>
  <CharactersWithSpaces>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Shrihan Anikapati</cp:lastModifiedBy>
  <cp:revision>2</cp:revision>
  <dcterms:created xsi:type="dcterms:W3CDTF">2026-06-27T16:15:00Z</dcterms:created>
  <dcterms:modified xsi:type="dcterms:W3CDTF">2026-06-27T16:15:00Z</dcterms:modified>
</cp:coreProperties>
</file>