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Portfolio Statement</w:t>
      </w:r>
    </w:p>
    <w:p>
      <w:pPr>
        <w:pStyle w:val="Heading1"/>
      </w:pPr>
      <w:r>
        <w:t>Account Holder</w:t>
      </w:r>
    </w:p>
    <w:p>
      <w:r>
        <w:rPr>
          <w:sz w:val="22"/>
        </w:rPr>
        <w:t>Customer: Michael Johnson</w:t>
        <w:br/>
        <w:t>Portfolio Number: INV-884215</w:t>
        <w:br/>
        <w:t>Statement Period: April 1 – June 30, 2026</w:t>
      </w:r>
    </w:p>
    <w:p>
      <w:pPr>
        <w:pStyle w:val="Heading1"/>
      </w:pPr>
      <w:r>
        <w:t>Portfolio Summary</w:t>
      </w:r>
    </w:p>
    <w:p>
      <w:r>
        <w:rPr>
          <w:sz w:val="22"/>
        </w:rPr>
        <w:t>Beginning Portfolio Value: $842,150</w:t>
        <w:br/>
        <w:t>Deposits: $25,000</w:t>
        <w:br/>
        <w:t>Withdrawals: $10,000</w:t>
        <w:br/>
        <w:t>Investment Gain: $18,430</w:t>
        <w:br/>
        <w:t>Dividends &amp; Interest: $5,820</w:t>
        <w:br/>
        <w:br/>
        <w:t>Ending Portfolio Value: $881,400</w:t>
      </w:r>
    </w:p>
    <w:p>
      <w:pPr>
        <w:pStyle w:val="Heading1"/>
      </w:pPr>
      <w:r>
        <w:t>Asset Allocation</w:t>
      </w:r>
    </w:p>
    <w:p>
      <w:r>
        <w:rPr>
          <w:sz w:val="22"/>
        </w:rPr>
        <w:t>US Equities: 52%</w:t>
        <w:br/>
        <w:t>International Equities: 18%</w:t>
        <w:br/>
        <w:t>Fixed Income: 20%</w:t>
        <w:br/>
        <w:t>Cash &amp; Money Market: 5%</w:t>
        <w:br/>
        <w:t>Alternative Investments: 5%</w:t>
      </w:r>
    </w:p>
    <w:p>
      <w:pPr>
        <w:pStyle w:val="Heading1"/>
      </w:pPr>
      <w:r>
        <w:t>Advisor Notes</w:t>
      </w:r>
    </w:p>
    <w:p>
      <w:r>
        <w:rPr>
          <w:sz w:val="22"/>
        </w:rPr>
        <w:t>The portfolio remains aligned with the client's moderate-growth investment objective. Quarterly rebalancing maintained target allocations while preserving diversification. Please contact your Relationship Manager to discuss tax planning, retirement strategies, or changes to your investment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