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Small Business Cash Flow Report</w:t>
      </w:r>
    </w:p>
    <w:p>
      <w:pPr>
        <w:pStyle w:val="Heading1"/>
      </w:pPr>
      <w:r>
        <w:t>Business Profile</w:t>
      </w:r>
    </w:p>
    <w:p>
      <w:r>
        <w:rPr>
          <w:sz w:val="22"/>
        </w:rPr>
        <w:t>Business: Blue Horizon Dental Clinic</w:t>
        <w:br/>
        <w:t>Reporting Period: June 2026</w:t>
        <w:br/>
        <w:t>Prepared For: Commercial Banking Relationship Review</w:t>
      </w:r>
    </w:p>
    <w:p>
      <w:pPr>
        <w:pStyle w:val="Heading1"/>
      </w:pPr>
      <w:r>
        <w:t>Cash Flow Summary</w:t>
      </w:r>
    </w:p>
    <w:p>
      <w:r>
        <w:rPr>
          <w:sz w:val="22"/>
        </w:rPr>
        <w:t>Opening Cash Balance: $214,500</w:t>
        <w:br/>
        <w:br/>
        <w:t>Cash Inflows</w:t>
        <w:br/>
        <w:t>• Patient Revenue: $182,400</w:t>
        <w:br/>
        <w:t>• Insurance Reimbursements: $76,850</w:t>
        <w:br/>
        <w:t>• Miscellaneous Income: $5,200</w:t>
        <w:br/>
        <w:br/>
        <w:t>Total Inflows: $264,450</w:t>
        <w:br/>
        <w:br/>
        <w:t>Cash Outflows</w:t>
        <w:br/>
        <w:t>• Payroll: $92,600</w:t>
        <w:br/>
        <w:t>• Rent &amp; Utilities: $14,850</w:t>
        <w:br/>
        <w:t>• Medical Supplies: $31,420</w:t>
        <w:br/>
        <w:t>• Equipment Lease: $8,700</w:t>
        <w:br/>
        <w:t>• Loan Payment: $3,548.72</w:t>
        <w:br/>
        <w:t>• Taxes &amp; Insurance: $18,100</w:t>
        <w:br/>
        <w:br/>
        <w:t>Total Outflows: $169,218.72</w:t>
        <w:br/>
        <w:br/>
        <w:t>Closing Cash Balance: $309,731.28</w:t>
      </w:r>
    </w:p>
    <w:p>
      <w:pPr>
        <w:pStyle w:val="Heading1"/>
      </w:pPr>
      <w:r>
        <w:t>Relationship Manager Notes</w:t>
      </w:r>
    </w:p>
    <w:p>
      <w:r>
        <w:rPr>
          <w:sz w:val="22"/>
        </w:rPr>
        <w:t>Business maintains positive operating cash flow and has sufficient liquidity to support the pending equipment loan request. No missed loan payments were identified during the review period.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