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ДОГОВОР ВОЗМЕЗДНОГО ОКАЗАНИЯ УСЛУГ № ____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г. Караганда                                                                                                              «01» декабря 2025 г.</w:t>
      </w:r>
    </w:p>
    <w:p w:rsidR="00000000" w:rsidDel="00000000" w:rsidP="00000000" w:rsidRDefault="00000000" w:rsidRPr="00000000" w14:paraId="00000003">
      <w:pPr>
        <w:spacing w:line="240" w:lineRule="auto"/>
        <w:ind w:firstLine="600"/>
        <w:rPr/>
      </w:pPr>
      <w:r w:rsidDel="00000000" w:rsidR="00000000" w:rsidRPr="00000000">
        <w:rPr>
          <w:b w:val="0"/>
          <w:bCs w:val="0"/>
          <w:rtl w:val="0"/>
        </w:rPr>
        <w:t xml:space="preserve">Товарищество с ограниченной ответственностью «KSM», БИН 110 640 000 757, юридический адрес: Республика Казахстан, 100019, г. Караганда, р-он им. Казыбек би, учетный квартал 218, строение № 6, в лице Директора Мун Дмитрия Анатольевича, действующего на основании Устава, именуемое в дальнейшем «Заказчик», с одной стороны,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Кравчук Ярослав Сергеевич, дата рождения 23.03.1993, удостоверение личности № 045065636, выдано МВД РК 01.11.2018, проживающий: г. Караганда, пр. Шахтеров, дом 31, кв. 40, ИИН: 930323350026, именуемый в дальнейшем «Исполнитель», с другой стороны, совместно именуемые «Стороны», заключили настоящий Договор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1.1. Исполнитель обязуется по заданию Заказчика оказать услуги по разработке программного обеспечения (далее — «ПО») в соответствии с Техническим заданием (Приложение № 1), а Заказчик обязуется принять и оплатить оказанные услуги (далее — «Услуги»).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1.2. В рамках оказания Услуг Исполнитель обеспечивает создание и передачу Заказчику результатов, включая (если применимо): исходный код, исполняемые файлы/сборки, инструкции по установке и запуску, техническую и пользовательскую документацию, а также иные материалы, указанные в Приложении №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1.3. Исполнитель оказывает Услуги самостоятельно, своими силами и средствами, с использованием собственного оборудования/ПО (если иное не согласовано Сторонами). </w:t>
      </w:r>
    </w:p>
    <w:p w:rsidR="00000000" w:rsidDel="00000000" w:rsidP="00000000" w:rsidRDefault="00000000" w:rsidRPr="00000000" w14:paraId="00000009">
      <w:pPr>
        <w:spacing w:lin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1.4. </w:t>
      </w:r>
      <w:r w:rsidDel="00000000" w:rsidR="00000000" w:rsidRPr="00000000">
        <w:rPr>
          <w:shd w:fill="auto" w:val="clear"/>
          <w:rtl w:val="0"/>
        </w:rPr>
        <w:t xml:space="preserve">Фактические трудовые отношения отсутствуют, Исполнитель действует как независимый специалист и действует в соответствии действующим законодательством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2. СРОК ОКАЗАНИЯ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2.1. Срок оказания Услуг: с 01.12.2025 по 31.01.2026 (включительно).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2.2. Промежуточные результаты и/или этапность работ (при наличии) определяются Приложением №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3. ПОРЯДОК СДАЧИ-ПРИЕМКИ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3.1. По завершении Услуг в целом или отдельного этапа Исполнитель передает Заказчику результат и подписанный со своей стороны Акт оказанных услуг (далее — «Акт»).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3.2. Заказчик в течение 5 (пяти) рабочих дней с даты получения результата и Акта обязан: а) подписать Акт, либо б) направить Исполнителю мотивированный отказ с перечнем замечаний.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3.3. При получении мотивированного отказа Исполнитель устраняет согласованные замечания в разумный срок и повторно передает результат и Акт.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3.4. Если Заказчик в срок, указанный в п. 3.2, не подписал Акт и не направил мотивированный отказ, Услуги считаются принятыми без замечаний, а Акт — подписанным Заказчиком.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 ВОЗНАГРАЖДЕНИЕ И 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4.1. Вознаграждение Исполнителя за весь срок Договора составляет 1 500 000 (один миллион пятьсот тысяч) тенге «на руки» (net), то есть сумма, фактически подлежащая перечислению Исполнителю после применения обязательных удержаний (при наличии).</w:t>
      </w:r>
    </w:p>
    <w:p w:rsidR="00000000" w:rsidDel="00000000" w:rsidP="00000000" w:rsidRDefault="00000000" w:rsidRPr="00000000" w14:paraId="00000014">
      <w:pPr>
        <w:spacing w:lin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4.2. Вознаграждение включает в себя все расходы, которые могут возникнуть у Исполнителя в связи с исполнением настоящего договора.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4.3. Заказчик исполняет обязанности налогового агента и/или плательщика обязательных платежей в порядке, установленном законодательством Республики Казахстан (в зависимости от статуса Исполнителя и вида выплат).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4.4. Стороны согласовали, что при наличии обязательных удержаний/начислений, влияющих на сумму выплаты Исполнителю, размер начисленного вознаграждения определяется таким образом, чтобы сумма, фактически перечисленная Исполнителю, составила 1 500 000 тенге (net).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4.5. Оплата производится поэтапно в два платежа по 750 000 (семьсот пятьдесят тысяч) тенге (net) каждый: за декабрь 2025 года и за январь 2026 года — в течение 5 (пяти) банковских дней после подписания Акта за соответствующий период, если иное не указано в Приложении №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bookmarkStart w:colFirst="0" w:colLast="0" w:name="_heading=h.gg25n2rmgqoo" w:id="0"/>
      <w:bookmarkEnd w:id="0"/>
      <w:r w:rsidDel="00000000" w:rsidR="00000000" w:rsidRPr="00000000">
        <w:rPr>
          <w:b w:val="0"/>
          <w:bCs w:val="0"/>
          <w:rtl w:val="0"/>
        </w:rPr>
        <w:t xml:space="preserve">4.6. Оплата производится путем безналичного перечисления на банковские реквизиты Исполнителя, указанные в разделе 12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5. 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5.1. Исполнитель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5.1.1. Оказывать Услуги качественно и в сроки, установленные Договором и Приложением №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5.1.2. Своевременно информировать Заказчика о обстоятельствах, препятствующих надлежащему исполнению.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5.1.3. Соблюдать режим конфиденциальности в соответствии с разделом 8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5.1.4. По запросу Заказчика предоставлять отчеты о ходе работ (в разумном объеме).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5.2. Исполнитель вправе: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5.2.1. Получать от Заказчика информацию и материалы, необходимые для выполнения ТЗ.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5.2.2. Получать оплату в порядке и сроки, установленные Договором.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5.3. Заказчик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5.3.1. Предоставить Исполнителю исходные данные/доступы, необходимые для выполнения ТЗ (если применимо).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5.3.2. Принять результат и подписать Акт либо направить мотивированный отказ в сроки по разделу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5.3.3. Оплатить Услуги в порядке раздела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5.4. Заказчик вправе: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5.4.1. Осуществлять контроль хода выполнения Услуг без вмешательства в процесс их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5.4.2. Требовать устранения недостатков результата в пределах гарантийного срока (раздел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6. ПРАВА НА РЕЗУЛЬТАТЫ И ИНТЕЛЛЕКТУАЛЬНАЯ СОБСТВЕННОСТЬ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6.1. Исключительные имущественные права на результаты, созданные Исполнителем в рамках настоящего Договора (включая исходный код, объекты авторского права, документацию и иные материалы), передаются Заказчику в полном объеме с момента подписания соответствующего Акта и оплаты соответствующего объема Услуг, если иное прямо не установлено Приложением №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6.2. Вознаграждение за передачу прав на результаты включено в сумму, указанную в п. 4.1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6.3. Исполнитель гарантирует, что результат Услуг является оригинальным и его использование Заказчиком не нарушает прав третьих лиц. В случае предъявления претензий третьих лиц по правам на результат Исполнитель обязуется содействовать урегулированию и возместить Заказчику документально подтвержденные убытки, причиненные такими претензиями, если нарушение возникло по вине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7. КАЧЕСТВО, ГАРАНТИЙНЫЕ ОБЯЗАТЕЛЬСТВА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7.1. Исполнитель предоставляет гарантийный срок на устранение выявленных недостатков результата сроком 30 (тридцать) календарных дней с даты подписания итогового 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7.2. Недостатки, возникшие по вине Исполнителя, устраняются Исполнителем без дополнительной оплаты в согласованный Сторонами срок.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8. КОНФИДЕНЦИАЛЬНОСТЬ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8.1. Исполнитель обязуется сохранять конфиденциальность информации Заказчика, полученной в связи с исполнением Договора, не раскрывать ее третьим лицам и не использовать иначе как для целей исполнения Договора без письменного согласия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8.2. Обязательства по конфиденциальности действуют в течение срока Договора и 3 (трех) лет после его прекращения.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9.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9.1. За нарушение сроков оказания Услуг Исполнитель уплачивает неустойку в размере 0,1% от стоимости просроченной части Услуг за каждый календарный день просрочки, но не более 10% от общей стоимости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9.2. За просрочку оплаты Заказчик уплачивает неустойку в размере 0,1% от суммы просроченного платежа за каждый календарный день просрочки, но не более 10% от суммы такого платежа.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9.3. Стороны не возмещают упущенную выгоду друг другу, если иное не предусмотрено императивными нормами законодательства.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10. ФОРС-МАЖОР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10.1. Стороны освобождаются от ответственности за частичное или полное неисполнение обязательств по Договору, если такое неисполнение явилось следствием обстоятельств непреодолимой силы, подтвержденных документально.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10.2. Сторона, для которой наступили такие обстоятельства, обязана уведомить другую Сторону в течение 5 (пяти) календарных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11. ПРИМЕНИМОЕ ПРАВО И РАЗРЕШЕНИЕ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11.1. К Договору применяется право Республики Казахстан.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11.2. Споры и разногласия Стороны стремятся урегулировать путем переговоров. При недостижении согласия спор подлежит рассмотрению в судебном порядке по месту нахождения Заказчика, если иное не установлено императивными нормами.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12. АДРЕСА, РЕКВИЗИТЫ И 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ТОО «KSM»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БИН: 110 640 000 757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Юридический адрес: Республика Казахстан, 100019, г. Караганда, р-он им. Казыбек би, учетный квартал 218, строение №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Свидетельство по НДС: Серия 30001, № 0007908, выдано 27.11.2012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Банк: АО "БАНК ЦЕНТР КРЕДИТ", г. Караганда, Абая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БИК: KCJBKZKX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ИИК: KZ12 8562 2031 0415 5546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Тел.: (7212) 78-24-84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Директор: ____________________ / Мун Д.А.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Кравчук Ярослав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Дата рождения: 23.03.1993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Удостоверение личности № 045065636, выдано МВД РК 01.11.2018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Адрес проживания: г. Караганда, пр. Шахтеров, дом 31, кв.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ИИН: 930323350026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Банк: </w:t>
      </w:r>
      <w:r w:rsidDel="00000000" w:rsidR="00000000" w:rsidRPr="00000000">
        <w:rPr>
          <w:rtl w:val="0"/>
        </w:rPr>
        <w:t xml:space="preserve">АО "БАНК ЦЕНТР КРЕДИТ"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ИИК: </w:t>
      </w:r>
      <w:r w:rsidDel="00000000" w:rsidR="00000000" w:rsidRPr="00000000">
        <w:rPr>
          <w:rtl w:val="0"/>
        </w:rPr>
        <w:t xml:space="preserve">KZ868562204140287553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Подпись: ____________________ / Кравчук Я.С.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Приложение № 1</w:t>
        <w:br w:type="textWrapping"/>
        <w:t xml:space="preserve">ТЕХНИЧЕСКОЕ ЗАДАНИЕ (ШАБЛОН)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1) Наименование ПО/проекта: </w:t>
      </w:r>
      <w:r w:rsidDel="00000000" w:rsidR="00000000" w:rsidRPr="00000000">
        <w:rPr>
          <w:rtl w:val="0"/>
        </w:rPr>
        <w:t xml:space="preserve">Программная платформа управления и исполнения ии-агентов.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2) Цели и функциональные требования (кратко): </w:t>
      </w:r>
      <w:r w:rsidDel="00000000" w:rsidR="00000000" w:rsidRPr="00000000">
        <w:rPr>
          <w:rtl w:val="0"/>
        </w:rPr>
        <w:t xml:space="preserve">Обеспечить управляемое выполнение сценариев (агентов) и интеграцию с внешними сервисами (Битрикс24, GanttPRO, Google Workspace )</w:t>
      </w:r>
    </w:p>
    <w:p w:rsidR="00000000" w:rsidDel="00000000" w:rsidP="00000000" w:rsidRDefault="00000000" w:rsidRPr="00000000" w14:paraId="00000055">
      <w:pPr>
        <w:spacing w:lin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3) Технологический стек/платформа (если применимо): 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Vue 3 + TypeScript + Vite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Vuetify для UI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Pinia для управления состоянием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Python + FastAPI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LangChain + LangGraph для AI-агентов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SQLAlchemy (PostgreSQL) + Alembic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Qdrant (векторная БД) + Mem0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Инфраструктура: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Make для автоматизации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SearXNG для поиска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WhatsApp Service на Node.js (Baileys)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4) Состав результатов (deliverables):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   - исходный код (репозиторий</w:t>
      </w:r>
      <w:r w:rsidDel="00000000" w:rsidR="00000000" w:rsidRPr="00000000">
        <w:rPr>
          <w:rtl w:val="0"/>
        </w:rPr>
        <w:t xml:space="preserve"> на github</w:t>
      </w:r>
      <w:r w:rsidDel="00000000" w:rsidR="00000000" w:rsidRPr="00000000">
        <w:rPr>
          <w:b w:val="0"/>
          <w:bCs w:val="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   - сборка/исполняемые файлы</w:t>
      </w:r>
      <w:r w:rsidDel="00000000" w:rsidR="00000000" w:rsidRPr="00000000">
        <w:rPr>
          <w:rtl w:val="0"/>
        </w:rPr>
        <w:t xml:space="preserve">: Docker-образы и docker-compose конфигурация, обеспечивающие запуск приложения в контейнеризированной среде.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   - документация (инструкция по установке/запуску; описание интерфейсов/API; пользовательская инструкция);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5) Этапы и сроки: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   - Этап 1 (декабрь 2025): </w:t>
      </w:r>
      <w:r w:rsidDel="00000000" w:rsidR="00000000" w:rsidRPr="00000000">
        <w:rPr>
          <w:rtl w:val="0"/>
        </w:rPr>
        <w:t xml:space="preserve">Многопользовательская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платформа (веб-сервис), с возможностью подключения разных LLM-провайдеров, изменяемой базовой инструкцией. Система кэширования промтов, векторная память агента, сохранение состояния, доступ к функционалу через тг-бота.  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   - Этап 2 (январь 2026):</w:t>
      </w:r>
      <w:r w:rsidDel="00000000" w:rsidR="00000000" w:rsidRPr="00000000">
        <w:rPr>
          <w:rtl w:val="0"/>
        </w:rPr>
        <w:t xml:space="preserve"> Интеграция с внешними сервисами, реализация сложных многошаговых цепочек действий, агенты (ассистент МОПа, ассистент первого руководителя, система чтения/хранения файлов (основные офисные форматы, аудио изображения), специальный режим для работы с базой знаний, специальный режим для обучения агента. Система управления промтами для пользователя, система для отслеживания статистики использования. “Песочница” (среда для написания и исполнения кода агентом).   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6) Критерии приемки: </w:t>
      </w:r>
      <w:r w:rsidDel="00000000" w:rsidR="00000000" w:rsidRPr="00000000">
        <w:rPr>
          <w:rtl w:val="0"/>
        </w:rPr>
        <w:t xml:space="preserve">Исправно работающая платформа, автономные агенты выполняют поставленные задачи под контролем человека, доступы и документация переданы ответственному лицу заказчика.   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7) Контактное лицо Заказчика: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546" w:top="654" w:left="1177" w:right="503" w:header="720" w:footer="2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4867276</wp:posOffset>
              </wp:positionH>
              <wp:positionV relativeFrom="paragraph">
                <wp:posOffset>-9522</wp:posOffset>
              </wp:positionV>
              <wp:extent cx="1847850" cy="18478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 \* MERGEFORMAT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4867276</wp:posOffset>
              </wp:positionH>
              <wp:positionV relativeFrom="paragraph">
                <wp:posOffset>-9522</wp:posOffset>
              </wp:positionV>
              <wp:extent cx="1847850" cy="184785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7850" cy="1847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8">
    <w:name w:val="heading 7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Emphasis"/>
    <w:basedOn w:val="11"/>
    <w:uiPriority w:val="20"/>
    <w:qFormat w:val="1"/>
    <w:rPr>
      <w:i w:val="1"/>
      <w:iCs w:val="1"/>
    </w:rPr>
  </w:style>
  <w:style w:type="character" w:styleId="14">
    <w:name w:val="Strong"/>
    <w:basedOn w:val="11"/>
    <w:uiPriority w:val="22"/>
    <w:qFormat w:val="1"/>
    <w:rPr>
      <w:b w:val="1"/>
      <w:bCs w:val="1"/>
    </w:rPr>
  </w:style>
  <w:style w:type="paragraph" w:styleId="15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16">
    <w:name w:val="Body Text 2"/>
    <w:basedOn w:val="1"/>
    <w:link w:val="48"/>
    <w:uiPriority w:val="99"/>
    <w:unhideWhenUsed w:val="1"/>
    <w:qFormat w:val="1"/>
    <w:pPr>
      <w:spacing w:after="120" w:line="480" w:lineRule="auto"/>
    </w:pPr>
  </w:style>
  <w:style w:type="paragraph" w:styleId="17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annotation text"/>
    <w:basedOn w:val="1"/>
    <w:uiPriority w:val="99"/>
    <w:semiHidden w:val="1"/>
    <w:unhideWhenUsed w:val="1"/>
    <w:qFormat w:val="1"/>
    <w:pPr>
      <w:spacing w:line="240" w:lineRule="auto"/>
    </w:pPr>
    <w:rPr>
      <w:sz w:val="20"/>
      <w:szCs w:val="20"/>
    </w:rPr>
  </w:style>
  <w:style w:type="paragraph" w:styleId="19">
    <w:name w:val="List Number 3"/>
    <w:basedOn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20">
    <w:name w:val="header"/>
    <w:basedOn w:val="1"/>
    <w:link w:val="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iPriority w:val="99"/>
    <w:unhideWhenUsed w:val="1"/>
    <w:qFormat w:val="1"/>
    <w:pPr>
      <w:spacing w:after="120"/>
    </w:pPr>
  </w:style>
  <w:style w:type="paragraph" w:styleId="22">
    <w:name w:val="macro"/>
    <w:link w:val="50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paragraph" w:styleId="23">
    <w:name w:val="List Bullet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4">
    <w:name w:val="List Bullet 2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5">
    <w:name w:val="List Bullet 3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27">
    <w:name w:val="footer"/>
    <w:basedOn w:val="1"/>
    <w:link w:val="39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29">
    <w:name w:val="List Number 2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30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31">
    <w:name w:val="Body Text 3"/>
    <w:basedOn w:val="1"/>
    <w:link w:val="49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33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34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35">
    <w:name w:val="List 2"/>
    <w:basedOn w:val="1"/>
    <w:uiPriority w:val="99"/>
    <w:unhideWhenUsed w:val="1"/>
    <w:qFormat w:val="1"/>
    <w:pPr>
      <w:ind w:left="720" w:hanging="360"/>
      <w:contextualSpacing w:val="1"/>
    </w:pPr>
  </w:style>
  <w:style w:type="paragraph" w:styleId="36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table" w:styleId="37">
    <w:name w:val="Table Grid"/>
    <w:basedOn w:val="12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38" w:customStyle="1">
    <w:name w:val="Header Char"/>
    <w:basedOn w:val="11"/>
    <w:link w:val="20"/>
    <w:uiPriority w:val="99"/>
    <w:qFormat w:val="1"/>
  </w:style>
  <w:style w:type="character" w:styleId="39" w:customStyle="1">
    <w:name w:val="Footer Char"/>
    <w:basedOn w:val="11"/>
    <w:link w:val="27"/>
    <w:uiPriority w:val="99"/>
    <w:qFormat w:val="1"/>
  </w:style>
  <w:style w:type="paragraph" w:styleId="40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41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42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43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44" w:customStyle="1">
    <w:name w:val="Title Char"/>
    <w:basedOn w:val="11"/>
    <w:link w:val="26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45" w:customStyle="1">
    <w:name w:val="Subtitle Char"/>
    <w:basedOn w:val="11"/>
    <w:link w:val="32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uiPriority w:val="34"/>
    <w:qFormat w:val="1"/>
    <w:pPr>
      <w:ind w:left="720"/>
      <w:contextualSpacing w:val="1"/>
    </w:pPr>
  </w:style>
  <w:style w:type="character" w:styleId="47" w:customStyle="1">
    <w:name w:val="Body Text Char"/>
    <w:basedOn w:val="11"/>
    <w:link w:val="21"/>
    <w:uiPriority w:val="99"/>
    <w:qFormat w:val="1"/>
  </w:style>
  <w:style w:type="character" w:styleId="48" w:customStyle="1">
    <w:name w:val="Body Text 2 Char"/>
    <w:basedOn w:val="11"/>
    <w:link w:val="16"/>
    <w:uiPriority w:val="99"/>
    <w:qFormat w:val="1"/>
  </w:style>
  <w:style w:type="character" w:styleId="49" w:customStyle="1">
    <w:name w:val="Body Text 3 Char"/>
    <w:basedOn w:val="11"/>
    <w:link w:val="31"/>
    <w:uiPriority w:val="99"/>
    <w:qFormat w:val="1"/>
    <w:rPr>
      <w:sz w:val="16"/>
      <w:szCs w:val="16"/>
    </w:rPr>
  </w:style>
  <w:style w:type="character" w:styleId="50" w:customStyle="1">
    <w:name w:val="Macro Text Char"/>
    <w:basedOn w:val="11"/>
    <w:link w:val="22"/>
    <w:uiPriority w:val="99"/>
    <w:qFormat w:val="1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2" w:customStyle="1">
    <w:name w:val="Quote Char"/>
    <w:basedOn w:val="11"/>
    <w:link w:val="51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3" w:customStyle="1">
    <w:name w:val="Heading 4 Char"/>
    <w:basedOn w:val="11"/>
    <w:link w:val="5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4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55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56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57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58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0" w:customStyle="1">
    <w:name w:val="Intense Quote Char"/>
    <w:basedOn w:val="11"/>
    <w:link w:val="59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1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62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3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64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65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66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table" w:styleId="67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8">
    <w:name w:val="Light Shading Accent 1"/>
    <w:basedOn w:val="12"/>
    <w:uiPriority w:val="60"/>
    <w:qFormat w:val="1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9">
    <w:name w:val="Light Shading Accent 2"/>
    <w:basedOn w:val="12"/>
    <w:uiPriority w:val="60"/>
    <w:qFormat w:val="1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70">
    <w:name w:val="Light Shading Accent 3"/>
    <w:basedOn w:val="12"/>
    <w:uiPriority w:val="60"/>
    <w:qFormat w:val="1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1">
    <w:name w:val="Light Shading Accent 4"/>
    <w:basedOn w:val="12"/>
    <w:uiPriority w:val="60"/>
    <w:qFormat w:val="1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2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3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4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5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6">
    <w:name w:val="Light List Accent 2"/>
    <w:basedOn w:val="12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7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8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9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1">
    <w:name w:val="Light Grid"/>
    <w:basedOn w:val="12"/>
    <w:uiPriority w:val="62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2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3">
    <w:name w:val="Light Grid Accent 2"/>
    <w:basedOn w:val="12"/>
    <w:uiPriority w:val="62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4">
    <w:name w:val="Light Grid Accent 3"/>
    <w:basedOn w:val="12"/>
    <w:uiPriority w:val="62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5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6">
    <w:name w:val="Light Grid Accent 5"/>
    <w:basedOn w:val="12"/>
    <w:uiPriority w:val="62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7">
    <w:name w:val="Light Grid Accent 6"/>
    <w:basedOn w:val="12"/>
    <w:uiPriority w:val="62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8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4"/>
    <w:basedOn w:val="12"/>
    <w:uiPriority w:val="63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5">
    <w:name w:val="Medium Shading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1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4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5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4">
    <w:name w:val="Medium List 1 Accent 2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5">
    <w:name w:val="Medium List 1 Accent 3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6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7">
    <w:name w:val="Medium List 1 Accent 5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8">
    <w:name w:val="Medium List 1 Accent 6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9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1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6">
    <w:name w:val="Medium Grid 1"/>
    <w:basedOn w:val="12"/>
    <w:uiPriority w:val="67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7">
    <w:name w:val="Medium Grid 1 Accent 1"/>
    <w:basedOn w:val="12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8">
    <w:name w:val="Medium Grid 1 Accent 2"/>
    <w:basedOn w:val="12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9">
    <w:name w:val="Medium Grid 1 Accent 3"/>
    <w:basedOn w:val="12"/>
    <w:uiPriority w:val="67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20">
    <w:name w:val="Medium Grid 1 Accent 4"/>
    <w:basedOn w:val="12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1">
    <w:name w:val="Medium Grid 1 Accent 5"/>
    <w:basedOn w:val="12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2">
    <w:name w:val="Medium Grid 1 Accent 6"/>
    <w:basedOn w:val="12"/>
    <w:uiPriority w:val="67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3">
    <w:name w:val="Medium Grid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1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3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4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5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2 Accent 6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30">
    <w:name w:val="Medium Grid 3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1">
    <w:name w:val="Medium Grid 3 Accent 1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2">
    <w:name w:val="Medium Grid 3 Accent 2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3">
    <w:name w:val="Medium Grid 3 Accent 3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4">
    <w:name w:val="Medium Grid 3 Accent 4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5">
    <w:name w:val="Medium Grid 3 Accent 5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6">
    <w:name w:val="Medium Grid 3 Accent 6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7">
    <w:name w:val="Dark List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8">
    <w:name w:val="Dark List Accent 1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9">
    <w:name w:val="Dark List Accent 2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40">
    <w:name w:val="Dark List Accent 3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1">
    <w:name w:val="Dark List Accent 4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2">
    <w:name w:val="Dark List Accent 5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3">
    <w:name w:val="Dark List Accent 6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4">
    <w:name w:val="Colorful Shading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8">
    <w:name w:val="Colorful Shading Accent 4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2">
    <w:name w:val="Colorful List Accent 1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3">
    <w:name w:val="Colorful List Accent 2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4">
    <w:name w:val="Colorful List Accent 3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5">
    <w:name w:val="Colorful List Accent 4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6">
    <w:name w:val="Colorful List Accent 5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7">
    <w:name w:val="Colorful List Accent 6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8">
    <w:name w:val="Colorful Grid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9">
    <w:name w:val="Colorful Grid Accent 1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60">
    <w:name w:val="Colorful Grid Accent 2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1">
    <w:name w:val="Colorful Grid Accent 3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2">
    <w:name w:val="Colorful Grid Accent 4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3">
    <w:name w:val="Colorful Grid Accent 5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4">
    <w:name w:val="Colorful Grid Accent 6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W/GKvi+9PLuTE6hUS10O1G3Cew==">CgMxLjAyDmguZ2cyNW4ycm1ncW9vOAByITFsUzdqbkY4ZXJpUEY3ZndkYTM5VUlWdTJWeTFyNXBmTg==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2284CDC4D5E64719B97AA529C260EA48_13</vt:lpwstr>
  </property>
</Properties>
</file>