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084A" w14:textId="77777777" w:rsidR="00050EA0" w:rsidRDefault="00000000">
      <w:pPr>
        <w:spacing w:after="60"/>
        <w:jc w:val="center"/>
      </w:pPr>
      <w:r>
        <w:rPr>
          <w:b/>
          <w:bCs/>
          <w:sz w:val="32"/>
          <w:szCs w:val="32"/>
        </w:rPr>
        <w:t>Can AI-Simulated Classrooms Make Better Teachers?</w:t>
      </w:r>
    </w:p>
    <w:p w14:paraId="0969084B" w14:textId="77777777" w:rsidR="00050EA0" w:rsidRDefault="00000000">
      <w:pPr>
        <w:spacing w:after="60"/>
        <w:jc w:val="center"/>
      </w:pPr>
      <w:r>
        <w:rPr>
          <w:i/>
          <w:iCs/>
          <w:sz w:val="26"/>
          <w:szCs w:val="26"/>
        </w:rPr>
        <w:t>Evidence from a Randomized Field Experiment with Science Educators in India</w:t>
      </w:r>
    </w:p>
    <w:p w14:paraId="0969084C" w14:textId="77777777" w:rsidR="00050EA0" w:rsidRDefault="00000000">
      <w:pPr>
        <w:spacing w:after="40"/>
        <w:jc w:val="center"/>
      </w:pPr>
      <w:r>
        <w:rPr>
          <w:color w:val="666666"/>
          <w:sz w:val="22"/>
          <w:szCs w:val="22"/>
        </w:rPr>
        <w:t>Research Proposal for the Journal of Marketing Research</w:t>
      </w:r>
    </w:p>
    <w:p w14:paraId="0969084D" w14:textId="77777777" w:rsidR="00050EA0" w:rsidRDefault="00050EA0">
      <w:pPr>
        <w:spacing w:after="200"/>
      </w:pPr>
    </w:p>
    <w:p w14:paraId="0969084E" w14:textId="77777777" w:rsidR="00050EA0" w:rsidRDefault="00000000">
      <w:pPr>
        <w:spacing w:after="40"/>
        <w:jc w:val="center"/>
      </w:pPr>
      <w:r>
        <w:rPr>
          <w:b/>
          <w:bCs/>
        </w:rPr>
        <w:t>Shrihari (Hari) Sridhar</w:t>
      </w:r>
    </w:p>
    <w:p w14:paraId="0969084F" w14:textId="77777777" w:rsidR="00050EA0" w:rsidRDefault="00000000">
      <w:pPr>
        <w:spacing w:after="20"/>
        <w:jc w:val="center"/>
      </w:pPr>
      <w:r>
        <w:rPr>
          <w:sz w:val="22"/>
          <w:szCs w:val="22"/>
        </w:rPr>
        <w:t>Mays Business School, Texas A&amp;M University</w:t>
      </w:r>
    </w:p>
    <w:p w14:paraId="09690850" w14:textId="77777777" w:rsidR="00050EA0" w:rsidRDefault="00000000">
      <w:pPr>
        <w:spacing w:after="20"/>
        <w:jc w:val="center"/>
      </w:pPr>
      <w:r>
        <w:rPr>
          <w:sz w:val="22"/>
          <w:szCs w:val="22"/>
        </w:rPr>
        <w:t>Chief Revenue Officer, Agastya International Foundation</w:t>
      </w:r>
    </w:p>
    <w:p w14:paraId="09690851" w14:textId="77777777" w:rsidR="00050EA0" w:rsidRDefault="00000000">
      <w:pPr>
        <w:spacing w:after="300"/>
        <w:jc w:val="center"/>
      </w:pPr>
      <w:r>
        <w:rPr>
          <w:color w:val="666666"/>
          <w:sz w:val="22"/>
          <w:szCs w:val="22"/>
        </w:rPr>
        <w:t>March 2026</w:t>
      </w:r>
    </w:p>
    <w:p w14:paraId="09690852" w14:textId="77777777" w:rsidR="00050EA0" w:rsidRDefault="00000000">
      <w:pPr>
        <w:pStyle w:val="Heading1"/>
      </w:pPr>
      <w:r>
        <w:t>Research Question</w:t>
      </w:r>
    </w:p>
    <w:p w14:paraId="09690853" w14:textId="77777777" w:rsidR="00050EA0" w:rsidRDefault="00000000">
      <w:pPr>
        <w:spacing w:after="200"/>
      </w:pPr>
      <w:r>
        <w:t>Does AI-simulated classroom practice improve the teaching effectiveness of science educators (</w:t>
      </w:r>
      <w:proofErr w:type="spellStart"/>
      <w:r>
        <w:rPr>
          <w:i/>
          <w:iCs/>
        </w:rPr>
        <w:t>Ignators</w:t>
      </w:r>
      <w:proofErr w:type="spellEnd"/>
      <w:r>
        <w:t xml:space="preserve">) serving underserved children in India? Specifically, we ask: </w:t>
      </w:r>
      <w:r>
        <w:rPr>
          <w:i/>
          <w:iCs/>
        </w:rPr>
        <w:t>Does repeated practice with AI students who simulate diverse learner archetypes—the curious, the skeptic, the shy, the disengaged, and the rote learner—produce measurably better learning outcomes in real classrooms, compared to traditional training methods?</w:t>
      </w:r>
    </w:p>
    <w:p w14:paraId="09690854" w14:textId="77777777" w:rsidR="00050EA0" w:rsidRDefault="00000000">
      <w:pPr>
        <w:spacing w:after="200"/>
      </w:pPr>
      <w:r>
        <w:t xml:space="preserve">This question sits at the intersection of three literatures: (1) </w:t>
      </w:r>
      <w:r>
        <w:rPr>
          <w:i/>
          <w:iCs/>
        </w:rPr>
        <w:t>marketing and education</w:t>
      </w:r>
      <w:r>
        <w:t xml:space="preserve">—how organizations “market” knowledge effectively to end consumers (students); (2) </w:t>
      </w:r>
      <w:r>
        <w:rPr>
          <w:i/>
          <w:iCs/>
        </w:rPr>
        <w:t>development economics</w:t>
      </w:r>
      <w:r>
        <w:t xml:space="preserve">—the causal impact of teacher quality interventions on human capital formation in low-income settings; and (3) </w:t>
      </w:r>
      <w:r>
        <w:rPr>
          <w:i/>
          <w:iCs/>
        </w:rPr>
        <w:t>AI-augmented training</w:t>
      </w:r>
      <w:r>
        <w:t>—the emerging evidence that generative AI can serve as a scalable practice partner for high-stakes interpersonal skills. The paper contributes to JMR’s “better marketing for a better world” agenda by demonstrating how AI simulation technology—originally developed for sales training—can be repurposed to solve one of the hardest problems in global education delivery.</w:t>
      </w:r>
    </w:p>
    <w:p w14:paraId="09690855" w14:textId="77777777" w:rsidR="00050EA0" w:rsidRDefault="00000000">
      <w:pPr>
        <w:pStyle w:val="Heading1"/>
      </w:pPr>
      <w:r>
        <w:t>Context: Agastya International Foundation</w:t>
      </w:r>
    </w:p>
    <w:p w14:paraId="09690856" w14:textId="77777777" w:rsidR="00050EA0" w:rsidRDefault="00000000">
      <w:pPr>
        <w:spacing w:after="200"/>
      </w:pPr>
      <w:r>
        <w:t xml:space="preserve">Agastya International Foundation is one of India’s largest hands-on STEAM education nonprofits, reaching millions of children in government schools through a network of approximately 1,000 </w:t>
      </w:r>
      <w:proofErr w:type="spellStart"/>
      <w:r>
        <w:rPr>
          <w:i/>
          <w:iCs/>
        </w:rPr>
        <w:t>Ignators</w:t>
      </w:r>
      <w:proofErr w:type="spellEnd"/>
      <w:r>
        <w:t xml:space="preserve">—science educators who deliver Activity-Based Learning (ABL) experiments in classrooms across rural India. Agastya’s goal is to reach 100 million children and 1 million teachers by 2032. The binding constraint is not curriculum (Agastya has 100+ ABL modules across Physics, Chemistry, Biology, and Mathematics) but </w:t>
      </w:r>
      <w:r>
        <w:rPr>
          <w:b/>
          <w:bCs/>
        </w:rPr>
        <w:t>teacher quality at scale</w:t>
      </w:r>
      <w:r>
        <w:t xml:space="preserve">. Training 1,000 </w:t>
      </w:r>
      <w:proofErr w:type="spellStart"/>
      <w:r>
        <w:t>Ignators</w:t>
      </w:r>
      <w:proofErr w:type="spellEnd"/>
      <w:r>
        <w:t xml:space="preserve"> to deliver consistently excellent, inquiry-based science instruction—in every classroom, every village, every time—is the central challenge.</w:t>
      </w:r>
    </w:p>
    <w:p w14:paraId="09690857" w14:textId="77777777" w:rsidR="00050EA0" w:rsidRDefault="00000000">
      <w:pPr>
        <w:spacing w:after="200"/>
      </w:pPr>
      <w:r>
        <w:t xml:space="preserve">We have developed </w:t>
      </w:r>
      <w:proofErr w:type="spellStart"/>
      <w:r>
        <w:rPr>
          <w:b/>
          <w:bCs/>
        </w:rPr>
        <w:t>VidyaSpark</w:t>
      </w:r>
      <w:proofErr w:type="spellEnd"/>
      <w:r>
        <w:t>, an AI-powered simulation platform (the “</w:t>
      </w:r>
      <w:proofErr w:type="spellStart"/>
      <w:r>
        <w:t>Tapovan</w:t>
      </w:r>
      <w:proofErr w:type="spellEnd"/>
      <w:r>
        <w:t xml:space="preserve">”) where </w:t>
      </w:r>
      <w:proofErr w:type="spellStart"/>
      <w:r>
        <w:t>Ignators</w:t>
      </w:r>
      <w:proofErr w:type="spellEnd"/>
      <w:r>
        <w:t xml:space="preserve"> practice teaching interactive science experiments to five AI students with distinct learning personalities. The platform provides unlimited practice, 24/7 availability, detailed performance assessment, and targeted coaching feedback. </w:t>
      </w:r>
      <w:proofErr w:type="spellStart"/>
      <w:r>
        <w:t>VidyaSpark</w:t>
      </w:r>
      <w:proofErr w:type="spellEnd"/>
      <w:r>
        <w:t xml:space="preserve"> represents a novel application of generative AI to teacher preparation—one that can be rigorously evaluated.</w:t>
      </w:r>
    </w:p>
    <w:p w14:paraId="09690858" w14:textId="77777777" w:rsidR="00050EA0" w:rsidRDefault="00000000">
      <w:pPr>
        <w:pStyle w:val="Heading1"/>
      </w:pPr>
      <w:r>
        <w:t>Proposed Experimental Design</w:t>
      </w:r>
    </w:p>
    <w:p w14:paraId="09690859" w14:textId="77777777" w:rsidR="00050EA0" w:rsidRDefault="00000000">
      <w:pPr>
        <w:spacing w:after="120"/>
      </w:pPr>
      <w:r>
        <w:rPr>
          <w:b/>
          <w:bCs/>
        </w:rPr>
        <w:t>Design.</w:t>
      </w:r>
      <w:r>
        <w:t xml:space="preserve"> Randomized controlled trial (RCT) with a 2 × 2 between-subjects factorial design:</w:t>
      </w:r>
    </w:p>
    <w:p w14:paraId="0969085A" w14:textId="77777777" w:rsidR="00050EA0" w:rsidRDefault="00000000">
      <w:pPr>
        <w:pStyle w:val="ListParagraph"/>
        <w:numPr>
          <w:ilvl w:val="0"/>
          <w:numId w:val="2"/>
        </w:numPr>
        <w:spacing w:after="80"/>
      </w:pPr>
      <w:r>
        <w:rPr>
          <w:b/>
          <w:bCs/>
        </w:rPr>
        <w:lastRenderedPageBreak/>
        <w:t>Control:</w:t>
      </w:r>
      <w:r>
        <w:t xml:space="preserve"> Traditional training only (in-person workshops, peer observation, handbook study)</w:t>
      </w:r>
    </w:p>
    <w:p w14:paraId="0969085B" w14:textId="77777777" w:rsidR="00050EA0" w:rsidRDefault="00000000">
      <w:pPr>
        <w:pStyle w:val="ListParagraph"/>
        <w:numPr>
          <w:ilvl w:val="0"/>
          <w:numId w:val="2"/>
        </w:numPr>
        <w:spacing w:after="80"/>
      </w:pPr>
      <w:r>
        <w:rPr>
          <w:b/>
          <w:bCs/>
        </w:rPr>
        <w:t>AI Practice:</w:t>
      </w:r>
      <w:r>
        <w:t xml:space="preserve"> Traditional training + unlimited </w:t>
      </w:r>
      <w:proofErr w:type="spellStart"/>
      <w:r>
        <w:t>VidyaSpark</w:t>
      </w:r>
      <w:proofErr w:type="spellEnd"/>
      <w:r>
        <w:t xml:space="preserve"> </w:t>
      </w:r>
      <w:proofErr w:type="spellStart"/>
      <w:r>
        <w:t>Tapovan</w:t>
      </w:r>
      <w:proofErr w:type="spellEnd"/>
      <w:r>
        <w:t xml:space="preserve"> sessions</w:t>
      </w:r>
    </w:p>
    <w:p w14:paraId="0969085C" w14:textId="77777777" w:rsidR="00050EA0" w:rsidRDefault="00000000">
      <w:pPr>
        <w:pStyle w:val="ListParagraph"/>
        <w:numPr>
          <w:ilvl w:val="0"/>
          <w:numId w:val="2"/>
        </w:numPr>
        <w:spacing w:after="80"/>
      </w:pPr>
      <w:r>
        <w:rPr>
          <w:b/>
          <w:bCs/>
        </w:rPr>
        <w:t>AI Practice + AI Coaching:</w:t>
      </w:r>
      <w:r>
        <w:t xml:space="preserve"> Traditional training + </w:t>
      </w:r>
      <w:proofErr w:type="spellStart"/>
      <w:r>
        <w:t>VidyaSpark</w:t>
      </w:r>
      <w:proofErr w:type="spellEnd"/>
      <w:r>
        <w:t xml:space="preserve"> sessions + AI-generated personalized coaching feedback after each session</w:t>
      </w:r>
    </w:p>
    <w:p w14:paraId="0969085D" w14:textId="77777777" w:rsidR="00050EA0" w:rsidRDefault="00000000">
      <w:pPr>
        <w:pStyle w:val="ListParagraph"/>
        <w:numPr>
          <w:ilvl w:val="0"/>
          <w:numId w:val="2"/>
        </w:numPr>
        <w:spacing w:after="200"/>
      </w:pPr>
      <w:r>
        <w:rPr>
          <w:b/>
          <w:bCs/>
        </w:rPr>
        <w:t>AI Practice + Human Coaching:</w:t>
      </w:r>
      <w:r>
        <w:t xml:space="preserve"> Traditional training + </w:t>
      </w:r>
      <w:proofErr w:type="spellStart"/>
      <w:r>
        <w:t>VidyaSpark</w:t>
      </w:r>
      <w:proofErr w:type="spellEnd"/>
      <w:r>
        <w:t xml:space="preserve"> sessions + human mentor (senior Catalyzer) feedback after each session</w:t>
      </w:r>
    </w:p>
    <w:p w14:paraId="0969085E" w14:textId="77777777" w:rsidR="00050EA0" w:rsidRDefault="00000000">
      <w:pPr>
        <w:spacing w:after="120"/>
      </w:pPr>
      <w:r>
        <w:rPr>
          <w:b/>
          <w:bCs/>
        </w:rPr>
        <w:t>Participants.</w:t>
      </w:r>
      <w:r>
        <w:t xml:space="preserve"> 200 Agastya </w:t>
      </w:r>
      <w:proofErr w:type="spellStart"/>
      <w:r>
        <w:t>Ignators</w:t>
      </w:r>
      <w:proofErr w:type="spellEnd"/>
      <w:r>
        <w:t xml:space="preserve">, randomly assigned to four conditions (50 per cell). Stratified by experience level (junior vs. senior) and geographic region. All </w:t>
      </w:r>
      <w:proofErr w:type="spellStart"/>
      <w:r>
        <w:t>Ignators</w:t>
      </w:r>
      <w:proofErr w:type="spellEnd"/>
      <w:r>
        <w:t xml:space="preserve"> teach the same set of ABL modules during the study period.</w:t>
      </w:r>
    </w:p>
    <w:p w14:paraId="0969085F" w14:textId="77777777" w:rsidR="00050EA0" w:rsidRDefault="00000000">
      <w:pPr>
        <w:spacing w:after="120"/>
      </w:pPr>
      <w:r>
        <w:rPr>
          <w:b/>
          <w:bCs/>
        </w:rPr>
        <w:t>Duration.</w:t>
      </w:r>
      <w:r>
        <w:t xml:space="preserve"> 12 weeks. Weeks 1–2: baseline measurement. Weeks 3–10: intervention period (treatment groups practice on </w:t>
      </w:r>
      <w:proofErr w:type="spellStart"/>
      <w:r>
        <w:t>VidyaSpark</w:t>
      </w:r>
      <w:proofErr w:type="spellEnd"/>
      <w:r>
        <w:t>; control continues standard training). Weeks 11–12: post-intervention classroom observation and student testing.</w:t>
      </w:r>
    </w:p>
    <w:p w14:paraId="09690860" w14:textId="77777777" w:rsidR="00050EA0" w:rsidRDefault="00000000">
      <w:pPr>
        <w:spacing w:after="200"/>
      </w:pPr>
      <w:r>
        <w:rPr>
          <w:b/>
          <w:bCs/>
        </w:rPr>
        <w:t>Setting.</w:t>
      </w:r>
      <w:r>
        <w:t xml:space="preserve"> Government schools in Andhra Pradesh and Karnataka served by Agastya, covering classes 6–9 (ages 11–15). Each </w:t>
      </w:r>
      <w:proofErr w:type="spellStart"/>
      <w:r>
        <w:t>Ignator</w:t>
      </w:r>
      <w:proofErr w:type="spellEnd"/>
      <w:r>
        <w:t xml:space="preserve"> teaches approximately 4–6 classrooms per week.</w:t>
      </w:r>
    </w:p>
    <w:p w14:paraId="09690861" w14:textId="77777777" w:rsidR="00050EA0" w:rsidRDefault="00000000">
      <w:pPr>
        <w:pStyle w:val="Heading1"/>
      </w:pPr>
      <w:r>
        <w:t>Dependent Variables</w:t>
      </w:r>
    </w:p>
    <w:p w14:paraId="09690862" w14:textId="77777777" w:rsidR="00050EA0" w:rsidRDefault="00000000">
      <w:pPr>
        <w:pStyle w:val="ListParagraph"/>
        <w:numPr>
          <w:ilvl w:val="0"/>
          <w:numId w:val="3"/>
        </w:numPr>
        <w:spacing w:after="80"/>
      </w:pPr>
      <w:r>
        <w:rPr>
          <w:b/>
          <w:bCs/>
        </w:rPr>
        <w:t>Student Learning Outcomes (Primary):</w:t>
      </w:r>
      <w:r>
        <w:t xml:space="preserve"> Pre/post comprehension tests administered to real students before and after </w:t>
      </w:r>
      <w:proofErr w:type="spellStart"/>
      <w:r>
        <w:t>Ignator</w:t>
      </w:r>
      <w:proofErr w:type="spellEnd"/>
      <w:r>
        <w:t>-led sessions. Tests aligned to ABL handbook learning objectives. Difference-in-differences estimation.</w:t>
      </w:r>
    </w:p>
    <w:p w14:paraId="09690863" w14:textId="77777777" w:rsidR="00050EA0" w:rsidRDefault="00000000">
      <w:pPr>
        <w:pStyle w:val="ListParagraph"/>
        <w:numPr>
          <w:ilvl w:val="0"/>
          <w:numId w:val="3"/>
        </w:numPr>
        <w:spacing w:after="80"/>
      </w:pPr>
      <w:r>
        <w:rPr>
          <w:b/>
          <w:bCs/>
        </w:rPr>
        <w:t>Teaching Quality (Observed):</w:t>
      </w:r>
      <w:r>
        <w:t xml:space="preserve"> Blind-coded classroom observations using Agastya’s Super Class Checklist: inquiry-based questioning, student engagement breadth, misconception handling, and experiment demonstration quality.</w:t>
      </w:r>
    </w:p>
    <w:p w14:paraId="09690864" w14:textId="77777777" w:rsidR="00050EA0" w:rsidRDefault="00000000">
      <w:pPr>
        <w:pStyle w:val="ListParagraph"/>
        <w:numPr>
          <w:ilvl w:val="0"/>
          <w:numId w:val="3"/>
        </w:numPr>
        <w:spacing w:after="80"/>
      </w:pPr>
      <w:r>
        <w:rPr>
          <w:b/>
          <w:bCs/>
        </w:rPr>
        <w:t>Student Engagement (Observed):</w:t>
      </w:r>
      <w:r>
        <w:t xml:space="preserve"> Proportion of students actively participating, asking questions, and demonstrating curiosity during live sessions. Coded from classroom video.</w:t>
      </w:r>
    </w:p>
    <w:p w14:paraId="09690865" w14:textId="77777777" w:rsidR="00050EA0" w:rsidRDefault="00000000">
      <w:pPr>
        <w:pStyle w:val="ListParagraph"/>
        <w:numPr>
          <w:ilvl w:val="0"/>
          <w:numId w:val="3"/>
        </w:numPr>
        <w:spacing w:after="80"/>
      </w:pPr>
      <w:proofErr w:type="spellStart"/>
      <w:r>
        <w:rPr>
          <w:b/>
          <w:bCs/>
        </w:rPr>
        <w:t>Ignator</w:t>
      </w:r>
      <w:proofErr w:type="spellEnd"/>
      <w:r>
        <w:rPr>
          <w:b/>
          <w:bCs/>
        </w:rPr>
        <w:t xml:space="preserve"> Confidence (Self-Report):</w:t>
      </w:r>
      <w:r>
        <w:t xml:space="preserve"> Pre/post survey measuring teaching self-efficacy, comfort with inquiry-based methods, and perceived preparedness.</w:t>
      </w:r>
    </w:p>
    <w:p w14:paraId="09690866" w14:textId="77777777" w:rsidR="00050EA0" w:rsidRDefault="00000000">
      <w:pPr>
        <w:pStyle w:val="ListParagraph"/>
        <w:numPr>
          <w:ilvl w:val="0"/>
          <w:numId w:val="3"/>
        </w:numPr>
        <w:spacing w:after="200"/>
      </w:pPr>
      <w:r>
        <w:rPr>
          <w:b/>
          <w:bCs/>
        </w:rPr>
        <w:t>Platform Engagement (Process):</w:t>
      </w:r>
      <w:r>
        <w:t xml:space="preserve"> Number of </w:t>
      </w:r>
      <w:proofErr w:type="spellStart"/>
      <w:r>
        <w:t>VidyaSpark</w:t>
      </w:r>
      <w:proofErr w:type="spellEnd"/>
      <w:r>
        <w:t xml:space="preserve"> sessions completed, time spent, modules practiced, score trajectories—enabling dose-response analysis.</w:t>
      </w:r>
    </w:p>
    <w:p w14:paraId="09690867" w14:textId="77777777" w:rsidR="00050EA0" w:rsidRDefault="00000000">
      <w:pPr>
        <w:pStyle w:val="Heading1"/>
      </w:pPr>
      <w:r>
        <w:t>Expected Results and Contributions</w:t>
      </w:r>
    </w:p>
    <w:p w14:paraId="09690868" w14:textId="77777777" w:rsidR="00050EA0" w:rsidRDefault="00000000">
      <w:pPr>
        <w:spacing w:after="120"/>
      </w:pPr>
      <w:r>
        <w:t>We hypothesize:</w:t>
      </w:r>
    </w:p>
    <w:p w14:paraId="09690869" w14:textId="77777777" w:rsidR="00050EA0" w:rsidRDefault="00000000">
      <w:pPr>
        <w:pStyle w:val="ListParagraph"/>
        <w:numPr>
          <w:ilvl w:val="0"/>
          <w:numId w:val="3"/>
        </w:numPr>
        <w:spacing w:after="80"/>
      </w:pPr>
      <w:r>
        <w:rPr>
          <w:b/>
          <w:bCs/>
        </w:rPr>
        <w:t>H1:</w:t>
      </w:r>
      <w:r>
        <w:t xml:space="preserve"> </w:t>
      </w:r>
      <w:proofErr w:type="spellStart"/>
      <w:r>
        <w:t>Ignators</w:t>
      </w:r>
      <w:proofErr w:type="spellEnd"/>
      <w:r>
        <w:t xml:space="preserve"> in the AI Practice conditions will produce significantly higher student learning gains than the Control group, driven by increased practice volume and deliberate skill refinement.</w:t>
      </w:r>
    </w:p>
    <w:p w14:paraId="0969086A" w14:textId="77777777" w:rsidR="00050EA0" w:rsidRDefault="00000000">
      <w:pPr>
        <w:pStyle w:val="ListParagraph"/>
        <w:numPr>
          <w:ilvl w:val="0"/>
          <w:numId w:val="3"/>
        </w:numPr>
        <w:spacing w:after="80"/>
      </w:pPr>
      <w:r>
        <w:rPr>
          <w:b/>
          <w:bCs/>
        </w:rPr>
        <w:t>H2:</w:t>
      </w:r>
      <w:r>
        <w:t xml:space="preserve"> The coaching conditions (AI or Human) will outperform AI Practice alone, with AI coaching achieving comparable effectiveness to human coaching at a fraction of the cost—establishing AI as a scalable substitute for expert mentorship.</w:t>
      </w:r>
    </w:p>
    <w:p w14:paraId="0969086B" w14:textId="77777777" w:rsidR="00050EA0" w:rsidRDefault="00000000">
      <w:pPr>
        <w:pStyle w:val="ListParagraph"/>
        <w:numPr>
          <w:ilvl w:val="0"/>
          <w:numId w:val="3"/>
        </w:numPr>
        <w:spacing w:after="80"/>
      </w:pPr>
      <w:r>
        <w:rPr>
          <w:b/>
          <w:bCs/>
        </w:rPr>
        <w:lastRenderedPageBreak/>
        <w:t>H3:</w:t>
      </w:r>
      <w:r>
        <w:t xml:space="preserve"> Treatment effects will be strongest for junior </w:t>
      </w:r>
      <w:proofErr w:type="spellStart"/>
      <w:r>
        <w:t>Ignators</w:t>
      </w:r>
      <w:proofErr w:type="spellEnd"/>
      <w:r>
        <w:t xml:space="preserve"> (high marginal returns to practice) and for modules involving complex misconception handling (where traditional training is least effective).</w:t>
      </w:r>
    </w:p>
    <w:p w14:paraId="0969086C" w14:textId="77777777" w:rsidR="00050EA0" w:rsidRDefault="00000000">
      <w:pPr>
        <w:pStyle w:val="ListParagraph"/>
        <w:numPr>
          <w:ilvl w:val="0"/>
          <w:numId w:val="3"/>
        </w:numPr>
        <w:spacing w:after="200"/>
      </w:pPr>
      <w:r>
        <w:rPr>
          <w:b/>
          <w:bCs/>
        </w:rPr>
        <w:t>H4:</w:t>
      </w:r>
      <w:r>
        <w:t xml:space="preserve"> </w:t>
      </w:r>
      <w:proofErr w:type="spellStart"/>
      <w:r>
        <w:t>VidyaSpark</w:t>
      </w:r>
      <w:proofErr w:type="spellEnd"/>
      <w:r>
        <w:t xml:space="preserve">-trained </w:t>
      </w:r>
      <w:proofErr w:type="spellStart"/>
      <w:r>
        <w:t>Ignators</w:t>
      </w:r>
      <w:proofErr w:type="spellEnd"/>
      <w:r>
        <w:t xml:space="preserve"> will show higher engagement breadth—reaching shy and disengaged students more effectively—because the AI simulation forces practice with all five learner archetypes, including those traditionally overlooked.</w:t>
      </w:r>
    </w:p>
    <w:p w14:paraId="0969086D" w14:textId="77777777" w:rsidR="00050EA0" w:rsidRDefault="00000000">
      <w:pPr>
        <w:spacing w:after="200"/>
      </w:pPr>
      <w:r>
        <w:rPr>
          <w:b/>
          <w:bCs/>
        </w:rPr>
        <w:t>Contributions.</w:t>
      </w:r>
      <w:r>
        <w:t xml:space="preserve"> This study makes three contributions. First, it provides the first causal evidence on whether AI-simulated classroom practice improves real-world teaching outcomes—a question with implications far beyond Agastya. Second, it extends the “better marketing for a better world” literature by showing how AI simulation technology developed for commercial sales training can be repurposed to solve critical social challenges in education delivery. Third, it informs development economics by estimating the cost-effectiveness of AI-augmented teacher training relative to traditional methods, with direct implications for education policy in India and other developing economies. The platform’s marginal cost per practice session is near zero, compared to $50–$200 per session for traditional in-person coaching, making it a potentially transformative tool for scaling quality education.</w:t>
      </w:r>
    </w:p>
    <w:p w14:paraId="0969086E" w14:textId="77777777" w:rsidR="00050EA0" w:rsidRDefault="00000000">
      <w:pPr>
        <w:pStyle w:val="Heading1"/>
      </w:pPr>
      <w:r>
        <w:t>Proposed Timeline</w:t>
      </w:r>
    </w:p>
    <w:p w14:paraId="0969086F" w14:textId="77777777" w:rsidR="00050EA0" w:rsidRDefault="00000000">
      <w:pPr>
        <w:pStyle w:val="ListParagraph"/>
        <w:numPr>
          <w:ilvl w:val="0"/>
          <w:numId w:val="3"/>
        </w:numPr>
        <w:spacing w:after="60"/>
      </w:pPr>
      <w:r>
        <w:rPr>
          <w:b/>
          <w:bCs/>
        </w:rPr>
        <w:t>Q2 2026:</w:t>
      </w:r>
      <w:r>
        <w:t xml:space="preserve"> Complete module library (100+ ABLs), pilot with 20 </w:t>
      </w:r>
      <w:proofErr w:type="spellStart"/>
      <w:r>
        <w:t>Ignators</w:t>
      </w:r>
      <w:proofErr w:type="spellEnd"/>
      <w:r>
        <w:t>, refine platform</w:t>
      </w:r>
    </w:p>
    <w:p w14:paraId="09690870" w14:textId="77777777" w:rsidR="00050EA0" w:rsidRDefault="00000000">
      <w:pPr>
        <w:pStyle w:val="ListParagraph"/>
        <w:numPr>
          <w:ilvl w:val="0"/>
          <w:numId w:val="3"/>
        </w:numPr>
        <w:spacing w:after="60"/>
      </w:pPr>
      <w:r>
        <w:rPr>
          <w:b/>
          <w:bCs/>
        </w:rPr>
        <w:t>Q3 2026:</w:t>
      </w:r>
      <w:r>
        <w:t xml:space="preserve"> Baseline data collection, randomization, begin intervention</w:t>
      </w:r>
    </w:p>
    <w:p w14:paraId="09690871" w14:textId="77777777" w:rsidR="00050EA0" w:rsidRDefault="00000000">
      <w:pPr>
        <w:pStyle w:val="ListParagraph"/>
        <w:numPr>
          <w:ilvl w:val="0"/>
          <w:numId w:val="3"/>
        </w:numPr>
        <w:spacing w:after="60"/>
      </w:pPr>
      <w:r>
        <w:rPr>
          <w:b/>
          <w:bCs/>
        </w:rPr>
        <w:t>Q4 2026:</w:t>
      </w:r>
      <w:r>
        <w:t xml:space="preserve"> Intervention period (12 weeks), post-intervention measurement</w:t>
      </w:r>
    </w:p>
    <w:p w14:paraId="09690872" w14:textId="77777777" w:rsidR="00050EA0" w:rsidRDefault="00000000">
      <w:pPr>
        <w:pStyle w:val="ListParagraph"/>
        <w:numPr>
          <w:ilvl w:val="0"/>
          <w:numId w:val="3"/>
        </w:numPr>
        <w:spacing w:after="200"/>
      </w:pPr>
      <w:r>
        <w:rPr>
          <w:b/>
          <w:bCs/>
        </w:rPr>
        <w:t>Q1 2027:</w:t>
      </w:r>
      <w:r>
        <w:t xml:space="preserve"> Analysis, manuscript preparation, submission to JMR</w:t>
      </w:r>
    </w:p>
    <w:p w14:paraId="09690873" w14:textId="77777777" w:rsidR="00050EA0" w:rsidRDefault="00000000">
      <w:pPr>
        <w:pBdr>
          <w:top w:val="single" w:sz="4" w:space="8" w:color="CCCCCC"/>
        </w:pBdr>
        <w:spacing w:before="200"/>
      </w:pPr>
      <w:r>
        <w:rPr>
          <w:b/>
          <w:bCs/>
          <w:sz w:val="22"/>
          <w:szCs w:val="22"/>
        </w:rPr>
        <w:t xml:space="preserve">Contact: </w:t>
      </w:r>
      <w:r>
        <w:rPr>
          <w:sz w:val="22"/>
          <w:szCs w:val="22"/>
        </w:rPr>
        <w:t>Shrihari Sridhar, shrihari@tamu.edu | Mays Business School, Texas A&amp;M University</w:t>
      </w:r>
    </w:p>
    <w:sectPr w:rsidR="00050EA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8FC0" w14:textId="77777777" w:rsidR="00A0369C" w:rsidRDefault="00A0369C">
      <w:r>
        <w:separator/>
      </w:r>
    </w:p>
  </w:endnote>
  <w:endnote w:type="continuationSeparator" w:id="0">
    <w:p w14:paraId="504846EF" w14:textId="77777777" w:rsidR="00A0369C" w:rsidRDefault="00A0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0875" w14:textId="2A7F471A" w:rsidR="00050EA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23CA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10EF6" w14:textId="77777777" w:rsidR="00A0369C" w:rsidRDefault="00A0369C">
      <w:r>
        <w:separator/>
      </w:r>
    </w:p>
  </w:footnote>
  <w:footnote w:type="continuationSeparator" w:id="0">
    <w:p w14:paraId="5694DFAD" w14:textId="77777777" w:rsidR="00A0369C" w:rsidRDefault="00A03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0874" w14:textId="77777777" w:rsidR="00050EA0" w:rsidRDefault="00000000">
    <w:pPr>
      <w:pBdr>
        <w:bottom w:val="single" w:sz="4" w:space="4" w:color="CCCCCC"/>
      </w:pBdr>
      <w:tabs>
        <w:tab w:val="right" w:pos="9026"/>
      </w:tabs>
    </w:pPr>
    <w:r>
      <w:rPr>
        <w:i/>
        <w:iCs/>
        <w:color w:val="888888"/>
        <w:sz w:val="18"/>
        <w:szCs w:val="18"/>
      </w:rPr>
      <w:t>Research Proposal</w:t>
    </w:r>
    <w:r>
      <w:rPr>
        <w:i/>
        <w:iCs/>
        <w:color w:val="888888"/>
        <w:sz w:val="18"/>
        <w:szCs w:val="18"/>
      </w:rPr>
      <w:tab/>
      <w:t>Journal of Marketing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312"/>
    <w:multiLevelType w:val="hybridMultilevel"/>
    <w:tmpl w:val="0A1AC250"/>
    <w:lvl w:ilvl="0" w:tplc="20B0686E">
      <w:start w:val="1"/>
      <w:numFmt w:val="bullet"/>
      <w:lvlText w:val="•"/>
      <w:lvlJc w:val="left"/>
      <w:pPr>
        <w:ind w:left="720" w:hanging="360"/>
      </w:pPr>
    </w:lvl>
    <w:lvl w:ilvl="1" w:tplc="DEACE9E8">
      <w:numFmt w:val="decimal"/>
      <w:lvlText w:val=""/>
      <w:lvlJc w:val="left"/>
    </w:lvl>
    <w:lvl w:ilvl="2" w:tplc="13AAB47A">
      <w:numFmt w:val="decimal"/>
      <w:lvlText w:val=""/>
      <w:lvlJc w:val="left"/>
    </w:lvl>
    <w:lvl w:ilvl="3" w:tplc="1A9EA9EA">
      <w:numFmt w:val="decimal"/>
      <w:lvlText w:val=""/>
      <w:lvlJc w:val="left"/>
    </w:lvl>
    <w:lvl w:ilvl="4" w:tplc="0C5A4D94">
      <w:numFmt w:val="decimal"/>
      <w:lvlText w:val=""/>
      <w:lvlJc w:val="left"/>
    </w:lvl>
    <w:lvl w:ilvl="5" w:tplc="AC968A46">
      <w:numFmt w:val="decimal"/>
      <w:lvlText w:val=""/>
      <w:lvlJc w:val="left"/>
    </w:lvl>
    <w:lvl w:ilvl="6" w:tplc="01963108">
      <w:numFmt w:val="decimal"/>
      <w:lvlText w:val=""/>
      <w:lvlJc w:val="left"/>
    </w:lvl>
    <w:lvl w:ilvl="7" w:tplc="739CB31A">
      <w:numFmt w:val="decimal"/>
      <w:lvlText w:val=""/>
      <w:lvlJc w:val="left"/>
    </w:lvl>
    <w:lvl w:ilvl="8" w:tplc="66D694A0">
      <w:numFmt w:val="decimal"/>
      <w:lvlText w:val=""/>
      <w:lvlJc w:val="left"/>
    </w:lvl>
  </w:abstractNum>
  <w:abstractNum w:abstractNumId="1" w15:restartNumberingAfterBreak="0">
    <w:nsid w:val="1D6F61A6"/>
    <w:multiLevelType w:val="hybridMultilevel"/>
    <w:tmpl w:val="EF202DB4"/>
    <w:lvl w:ilvl="0" w:tplc="AAD4084E">
      <w:start w:val="1"/>
      <w:numFmt w:val="bullet"/>
      <w:lvlText w:val="●"/>
      <w:lvlJc w:val="left"/>
      <w:pPr>
        <w:ind w:left="720" w:hanging="360"/>
      </w:pPr>
    </w:lvl>
    <w:lvl w:ilvl="1" w:tplc="DBA255C2">
      <w:start w:val="1"/>
      <w:numFmt w:val="bullet"/>
      <w:lvlText w:val="○"/>
      <w:lvlJc w:val="left"/>
      <w:pPr>
        <w:ind w:left="1440" w:hanging="360"/>
      </w:pPr>
    </w:lvl>
    <w:lvl w:ilvl="2" w:tplc="4FAA94FA">
      <w:start w:val="1"/>
      <w:numFmt w:val="bullet"/>
      <w:lvlText w:val="■"/>
      <w:lvlJc w:val="left"/>
      <w:pPr>
        <w:ind w:left="2160" w:hanging="360"/>
      </w:pPr>
    </w:lvl>
    <w:lvl w:ilvl="3" w:tplc="AB16FACC">
      <w:start w:val="1"/>
      <w:numFmt w:val="bullet"/>
      <w:lvlText w:val="●"/>
      <w:lvlJc w:val="left"/>
      <w:pPr>
        <w:ind w:left="2880" w:hanging="360"/>
      </w:pPr>
    </w:lvl>
    <w:lvl w:ilvl="4" w:tplc="250C98C6">
      <w:start w:val="1"/>
      <w:numFmt w:val="bullet"/>
      <w:lvlText w:val="○"/>
      <w:lvlJc w:val="left"/>
      <w:pPr>
        <w:ind w:left="3600" w:hanging="360"/>
      </w:pPr>
    </w:lvl>
    <w:lvl w:ilvl="5" w:tplc="6F42ADAA">
      <w:start w:val="1"/>
      <w:numFmt w:val="bullet"/>
      <w:lvlText w:val="■"/>
      <w:lvlJc w:val="left"/>
      <w:pPr>
        <w:ind w:left="4320" w:hanging="360"/>
      </w:pPr>
    </w:lvl>
    <w:lvl w:ilvl="6" w:tplc="F468EDB4">
      <w:start w:val="1"/>
      <w:numFmt w:val="bullet"/>
      <w:lvlText w:val="●"/>
      <w:lvlJc w:val="left"/>
      <w:pPr>
        <w:ind w:left="5040" w:hanging="360"/>
      </w:pPr>
    </w:lvl>
    <w:lvl w:ilvl="7" w:tplc="C3AEA1C2">
      <w:start w:val="1"/>
      <w:numFmt w:val="bullet"/>
      <w:lvlText w:val="●"/>
      <w:lvlJc w:val="left"/>
      <w:pPr>
        <w:ind w:left="5760" w:hanging="360"/>
      </w:pPr>
    </w:lvl>
    <w:lvl w:ilvl="8" w:tplc="FBD0FA40">
      <w:start w:val="1"/>
      <w:numFmt w:val="bullet"/>
      <w:lvlText w:val="●"/>
      <w:lvlJc w:val="left"/>
      <w:pPr>
        <w:ind w:left="6480" w:hanging="360"/>
      </w:pPr>
    </w:lvl>
  </w:abstractNum>
  <w:abstractNum w:abstractNumId="2" w15:restartNumberingAfterBreak="0">
    <w:nsid w:val="47AF59A9"/>
    <w:multiLevelType w:val="hybridMultilevel"/>
    <w:tmpl w:val="F94EC8E0"/>
    <w:lvl w:ilvl="0" w:tplc="C1E87888">
      <w:start w:val="1"/>
      <w:numFmt w:val="decimal"/>
      <w:lvlText w:val="%1."/>
      <w:lvlJc w:val="left"/>
      <w:pPr>
        <w:ind w:left="720" w:hanging="360"/>
      </w:pPr>
    </w:lvl>
    <w:lvl w:ilvl="1" w:tplc="8BA00882">
      <w:numFmt w:val="decimal"/>
      <w:lvlText w:val=""/>
      <w:lvlJc w:val="left"/>
    </w:lvl>
    <w:lvl w:ilvl="2" w:tplc="DDE0852E">
      <w:numFmt w:val="decimal"/>
      <w:lvlText w:val=""/>
      <w:lvlJc w:val="left"/>
    </w:lvl>
    <w:lvl w:ilvl="3" w:tplc="D3BA1B32">
      <w:numFmt w:val="decimal"/>
      <w:lvlText w:val=""/>
      <w:lvlJc w:val="left"/>
    </w:lvl>
    <w:lvl w:ilvl="4" w:tplc="D1B834F4">
      <w:numFmt w:val="decimal"/>
      <w:lvlText w:val=""/>
      <w:lvlJc w:val="left"/>
    </w:lvl>
    <w:lvl w:ilvl="5" w:tplc="FC1C72F8">
      <w:numFmt w:val="decimal"/>
      <w:lvlText w:val=""/>
      <w:lvlJc w:val="left"/>
    </w:lvl>
    <w:lvl w:ilvl="6" w:tplc="1890A97E">
      <w:numFmt w:val="decimal"/>
      <w:lvlText w:val=""/>
      <w:lvlJc w:val="left"/>
    </w:lvl>
    <w:lvl w:ilvl="7" w:tplc="DEA8849C">
      <w:numFmt w:val="decimal"/>
      <w:lvlText w:val=""/>
      <w:lvlJc w:val="left"/>
    </w:lvl>
    <w:lvl w:ilvl="8" w:tplc="D99EFA54">
      <w:numFmt w:val="decimal"/>
      <w:lvlText w:val=""/>
      <w:lvlJc w:val="left"/>
    </w:lvl>
  </w:abstractNum>
  <w:num w:numId="1" w16cid:durableId="790175393">
    <w:abstractNumId w:val="1"/>
    <w:lvlOverride w:ilvl="0">
      <w:startOverride w:val="1"/>
    </w:lvlOverride>
  </w:num>
  <w:num w:numId="2" w16cid:durableId="218789565">
    <w:abstractNumId w:val="2"/>
    <w:lvlOverride w:ilvl="0">
      <w:startOverride w:val="1"/>
    </w:lvlOverride>
  </w:num>
  <w:num w:numId="3" w16cid:durableId="1150515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A0"/>
    <w:rsid w:val="00050EA0"/>
    <w:rsid w:val="00A0369C"/>
    <w:rsid w:val="00B662FC"/>
    <w:rsid w:val="00C2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084A"/>
  <w15:docId w15:val="{2AC52759-C009-410C-958B-C43F298C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semiHidden/>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920</Words>
  <Characters>6126</Characters>
  <Application>Microsoft Office Word</Application>
  <DocSecurity>0</DocSecurity>
  <Lines>96</Lines>
  <Paragraphs>41</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Shrihari</cp:lastModifiedBy>
  <cp:revision>2</cp:revision>
  <dcterms:created xsi:type="dcterms:W3CDTF">2026-03-23T00:58:00Z</dcterms:created>
  <dcterms:modified xsi:type="dcterms:W3CDTF">2026-03-23T00:59:00Z</dcterms:modified>
</cp:coreProperties>
</file>