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Arial" w:cs="Arial" w:eastAsia="Arial" w:hAnsi="Arial"/>
          <w:b w:val="1"/>
          <w:bCs w:val="1"/>
          <w:color w:val="1f4e79"/>
          <w:sz w:val="52"/>
          <w:szCs w:val="52"/>
          <w:rtl w:val="0"/>
        </w:rPr>
        <w:t xml:space="preserve">Telco Customer Churn Prediction</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color w:val="2e75b6"/>
          <w:sz w:val="32"/>
          <w:szCs w:val="32"/>
          <w:rtl w:val="0"/>
        </w:rPr>
        <w:t xml:space="preserve">AI/ML Project Report</w:t>
      </w:r>
      <w:r w:rsidDel="00000000" w:rsidR="00000000" w:rsidRPr="00000000">
        <w:rPr>
          <w:rtl w:val="0"/>
        </w:rPr>
      </w:r>
    </w:p>
    <w:p w:rsidR="00000000" w:rsidDel="00000000" w:rsidP="00000000" w:rsidRDefault="00000000" w:rsidRPr="00000000" w14:paraId="00000004">
      <w:pPr>
        <w:pBdr>
          <w:bottom w:color="2e75b6" w:space="8" w:sz="6" w:val="single"/>
        </w:pBdr>
        <w:spacing w:after="200" w:lineRule="auto"/>
        <w:jc w:val="center"/>
        <w:rPr/>
      </w:pPr>
      <w:r w:rsidDel="00000000" w:rsidR="00000000" w:rsidRPr="00000000">
        <w:rPr>
          <w:rtl w:val="0"/>
        </w:rPr>
      </w:r>
    </w:p>
    <w:p w:rsidR="00000000" w:rsidDel="00000000" w:rsidP="00000000" w:rsidRDefault="00000000" w:rsidRPr="00000000" w14:paraId="00000005">
      <w:pPr>
        <w:spacing w:before="600" w:lineRule="auto"/>
        <w:jc w:val="center"/>
        <w:rPr/>
      </w:pPr>
      <w:r w:rsidDel="00000000" w:rsidR="00000000" w:rsidRPr="00000000">
        <w:rPr>
          <w:rFonts w:ascii="Arial" w:cs="Arial" w:eastAsia="Arial" w:hAnsi="Arial"/>
          <w:sz w:val="24"/>
          <w:szCs w:val="24"/>
          <w:rtl w:val="0"/>
        </w:rPr>
        <w:t xml:space="preserve">Author(s): </w:t>
      </w:r>
      <w:r w:rsidDel="00000000" w:rsidR="00000000" w:rsidRPr="00000000">
        <w:rPr>
          <w:sz w:val="24"/>
          <w:szCs w:val="24"/>
          <w:rtl w:val="0"/>
        </w:rPr>
        <w:t xml:space="preserve">Shriniket Patil</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sz w:val="24"/>
          <w:szCs w:val="24"/>
          <w:rtl w:val="0"/>
        </w:rPr>
        <w:t xml:space="preserve">Organization: Noblex Infinity Labs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sz w:val="24"/>
          <w:szCs w:val="24"/>
          <w:rtl w:val="0"/>
        </w:rPr>
        <w:t xml:space="preserve">Supervisor: </w:t>
      </w:r>
      <w:r w:rsidDel="00000000" w:rsidR="00000000" w:rsidRPr="00000000">
        <w:rPr>
          <w:sz w:val="24"/>
          <w:szCs w:val="24"/>
          <w:rtl w:val="0"/>
        </w:rPr>
        <w:t xml:space="preserve">Dr. Noble Arya</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sz w:val="24"/>
          <w:szCs w:val="24"/>
          <w:rtl w:val="0"/>
        </w:rPr>
        <w:t xml:space="preserve">Submission Date: March 2026</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sz w:val="24"/>
          <w:szCs w:val="24"/>
          <w:rtl w:val="0"/>
        </w:rPr>
        <w:t xml:space="preserve">Course/Program: AIML </w:t>
      </w:r>
      <w:r w:rsidDel="00000000" w:rsidR="00000000" w:rsidRPr="00000000">
        <w:rPr>
          <w:sz w:val="24"/>
          <w:szCs w:val="24"/>
          <w:rtl w:val="0"/>
        </w:rPr>
        <w:t xml:space="preserve">Data Science Accelerator</w:t>
      </w: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Fonts w:ascii="Arial" w:cs="Arial" w:eastAsia="Arial" w:hAnsi="Arial"/>
          <w:sz w:val="24"/>
          <w:szCs w:val="24"/>
          <w:rtl w:val="0"/>
        </w:rPr>
        <w:t xml:space="preserve">Contact: </w:t>
      </w:r>
      <w:hyperlink r:id="rId7">
        <w:r w:rsidDel="00000000" w:rsidR="00000000" w:rsidRPr="00000000">
          <w:rPr>
            <w:color w:val="1155cc"/>
            <w:sz w:val="24"/>
            <w:szCs w:val="24"/>
            <w:u w:val="single"/>
            <w:rtl w:val="0"/>
          </w:rPr>
          <w:t xml:space="preserve">shriniket.patil@gmail.com</w:t>
        </w:r>
      </w:hyperlink>
      <w:r w:rsidDel="00000000" w:rsidR="00000000" w:rsidRPr="00000000">
        <w:rPr>
          <w:rtl w:val="0"/>
        </w:rPr>
      </w:r>
    </w:p>
    <w:p w:rsidR="00000000" w:rsidDel="00000000" w:rsidP="00000000" w:rsidRDefault="00000000" w:rsidRPr="00000000" w14:paraId="0000000B">
      <w:pPr>
        <w:jc w:val="center"/>
        <w:rPr>
          <w:sz w:val="24"/>
          <w:szCs w:val="24"/>
        </w:rPr>
        <w:sectPr>
          <w:pgSz w:h="15840" w:w="12240" w:orient="portrait"/>
          <w:pgMar w:bottom="1440" w:top="1440" w:left="1440" w:right="1440" w:header="708" w:footer="708"/>
          <w:pgNumType w:start="1"/>
        </w:sectPr>
      </w:pPr>
      <w:r w:rsidDel="00000000" w:rsidR="00000000" w:rsidRPr="00000000">
        <w:rPr>
          <w:sz w:val="24"/>
          <w:szCs w:val="24"/>
          <w:rtl w:val="0"/>
        </w:rPr>
        <w:t xml:space="preserve">+91-8766731219</w:t>
      </w:r>
    </w:p>
    <w:p w:rsidR="00000000" w:rsidDel="00000000" w:rsidP="00000000" w:rsidRDefault="00000000" w:rsidRPr="00000000" w14:paraId="0000000C">
      <w:pPr>
        <w:pStyle w:val="Heading1"/>
        <w:rPr/>
      </w:pPr>
      <w:r w:rsidDel="00000000" w:rsidR="00000000" w:rsidRPr="00000000">
        <w:rPr>
          <w:rtl w:val="0"/>
        </w:rPr>
        <w:t xml:space="preserve">2. Abstract / Executive Summary</w:t>
      </w:r>
    </w:p>
    <w:p w:rsidR="00000000" w:rsidDel="00000000" w:rsidP="00000000" w:rsidRDefault="00000000" w:rsidRPr="00000000" w14:paraId="0000000D">
      <w:pPr>
        <w:spacing w:after="120" w:lineRule="auto"/>
        <w:rPr/>
      </w:pPr>
      <w:r w:rsidDel="00000000" w:rsidR="00000000" w:rsidRPr="00000000">
        <w:rPr>
          <w:rFonts w:ascii="Arial" w:cs="Arial" w:eastAsia="Arial" w:hAnsi="Arial"/>
          <w:sz w:val="22"/>
          <w:szCs w:val="22"/>
          <w:rtl w:val="0"/>
        </w:rPr>
        <w:t xml:space="preserve">This project addresses the problem of customer churn in the telecommunications industry. Using a dataset of 7,043 customers from a fictional California-based telecom company (Q3 data), we built and compared three machine learning models — Logistic Regression, Random Forest, and XGBoost — to predict which customers are likely to leave the service.</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sz w:val="22"/>
          <w:szCs w:val="22"/>
          <w:rtl w:val="0"/>
        </w:rPr>
        <w:t xml:space="preserve">The dataset contains 21 features covering customer demographics, account information, and service subscriptions. After data cleaning, encoding, and feature engineering, the final modelling dataset comprised 34 features across 7,043 records.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sz w:val="22"/>
          <w:szCs w:val="22"/>
          <w:rtl w:val="0"/>
        </w:rPr>
        <w:t xml:space="preserve">Hyperparameter tuning via GridSearchCV was performed on all three models. The Random Forest classifier was selected as the best-performing model based on the highest F1-Score (0.6374 after tuning), striking the best balance between identifying actual churners (recall) and minimizing false alarms (precision). The model achieved strong ROC-AUC performance, demonstrating reliable discrimination between churners and loyal customers.</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sz w:val="22"/>
          <w:szCs w:val="22"/>
          <w:rtl w:val="0"/>
        </w:rPr>
        <w:t xml:space="preserve">Key churn drivers identified include month-to-month contracts, short customer tenure, lack of tech support or online security, and electronic check payment methods. A revenue impact analysis estimates that targeted retention campaigns, informed by the model’s risk scores, could save substantial annual revenue at a strong return on investment. The model is packaged for production deployment with saved artefacts.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3. Problem Statement</w:t>
      </w:r>
    </w:p>
    <w:p w:rsidR="00000000" w:rsidDel="00000000" w:rsidP="00000000" w:rsidRDefault="00000000" w:rsidRPr="00000000" w14:paraId="00000013">
      <w:pPr>
        <w:spacing w:after="120" w:lineRule="auto"/>
        <w:rPr/>
      </w:pPr>
      <w:r w:rsidDel="00000000" w:rsidR="00000000" w:rsidRPr="00000000">
        <w:rPr>
          <w:rFonts w:ascii="Arial" w:cs="Arial" w:eastAsia="Arial" w:hAnsi="Arial"/>
          <w:sz w:val="22"/>
          <w:szCs w:val="22"/>
          <w:rtl w:val="0"/>
        </w:rPr>
        <w:t xml:space="preserve">A telecommunications company serving 7,043 customers in California is experiencing significant customer attrition (churn). Approximately 26.5% of customers — roughly 1 in 4 — are leaving the service, representing a major revenue threat.</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b w:val="1"/>
          <w:bCs w:val="1"/>
          <w:sz w:val="22"/>
          <w:szCs w:val="22"/>
          <w:rtl w:val="0"/>
        </w:rPr>
        <w:t xml:space="preserve">What problem are we solving? </w:t>
      </w:r>
      <w:r w:rsidDel="00000000" w:rsidR="00000000" w:rsidRPr="00000000">
        <w:rPr>
          <w:rFonts w:ascii="Arial" w:cs="Arial" w:eastAsia="Arial" w:hAnsi="Arial"/>
          <w:sz w:val="22"/>
          <w:szCs w:val="22"/>
          <w:rtl w:val="0"/>
        </w:rPr>
        <w:t xml:space="preserve">Predicting which customers are at highest risk of churning so the business can intervene proactively before they leave.</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b w:val="1"/>
          <w:bCs w:val="1"/>
          <w:sz w:val="22"/>
          <w:szCs w:val="22"/>
          <w:rtl w:val="0"/>
        </w:rPr>
        <w:t xml:space="preserve">Why is it important? </w:t>
      </w:r>
      <w:r w:rsidDel="00000000" w:rsidR="00000000" w:rsidRPr="00000000">
        <w:rPr>
          <w:rFonts w:ascii="Arial" w:cs="Arial" w:eastAsia="Arial" w:hAnsi="Arial"/>
          <w:sz w:val="22"/>
          <w:szCs w:val="22"/>
          <w:rtl w:val="0"/>
        </w:rPr>
        <w:t xml:space="preserve">Acquiring a new customer costs 5–7x more than retaining an existing one. Even a 5% reduction in churn can increase profits by 25–95%. Without a predictive model, the retention team must guess which customers need attention, wasting budget on loyal customers and missing those truly at risk.</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b w:val="1"/>
          <w:bCs w:val="1"/>
          <w:sz w:val="22"/>
          <w:szCs w:val="22"/>
          <w:rtl w:val="0"/>
        </w:rPr>
        <w:t xml:space="preserve">Who benefits? </w:t>
      </w:r>
      <w:r w:rsidDel="00000000" w:rsidR="00000000" w:rsidRPr="00000000">
        <w:rPr>
          <w:rFonts w:ascii="Arial" w:cs="Arial" w:eastAsia="Arial" w:hAnsi="Arial"/>
          <w:sz w:val="22"/>
          <w:szCs w:val="22"/>
          <w:rtl w:val="0"/>
        </w:rPr>
        <w:t xml:space="preserve">The Customer Success and Retention teams gain a ranked, actionable list of at-risk customers each month. Leadership gains quantifiable ROI from retention spending. Ultimately, customers benefit from proactive service improvements.</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4. Objectives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and compare multiple classification models (Logistic Regression, Random Forest, XGBoost) for churn prediction.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hyperparameter tuning via GridSearchCV to optimize each model.</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top features</w:t>
      </w:r>
      <w:r w:rsidDel="00000000" w:rsidR="00000000" w:rsidRPr="00000000">
        <w:rPr>
          <w:rtl w:val="0"/>
        </w:rPr>
        <w:t xml:space="preserve"> i.e.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churn drivers to inform business retention strategies.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customer-level churn risk scores and tier customers into High / Medium / Low risk segments.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 the revenue impact of churn and the ROI of targeted retention campaigns.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the trained model and preprocessing artefacts for production deployment.</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5. Dataset Description (Metadata) </w:t>
      </w:r>
    </w:p>
    <w:p w:rsidR="00000000" w:rsidDel="00000000" w:rsidP="00000000" w:rsidRDefault="00000000" w:rsidRPr="00000000" w14:paraId="00000020">
      <w:pPr>
        <w:pStyle w:val="Heading2"/>
        <w:rPr/>
      </w:pPr>
      <w:r w:rsidDel="00000000" w:rsidR="00000000" w:rsidRPr="00000000">
        <w:rPr>
          <w:rtl w:val="0"/>
        </w:rPr>
        <w:t xml:space="preserve">Dataset Metadata</w:t>
      </w:r>
    </w:p>
    <w:p w:rsidR="00000000" w:rsidDel="00000000" w:rsidP="00000000" w:rsidRDefault="00000000" w:rsidRPr="00000000" w14:paraId="00000021">
      <w:pPr>
        <w:spacing w:after="120" w:lineRule="auto"/>
        <w:rPr/>
      </w:pPr>
      <w:r w:rsidDel="00000000" w:rsidR="00000000" w:rsidRPr="00000000">
        <w:rPr>
          <w:rFonts w:ascii="Arial" w:cs="Arial" w:eastAsia="Arial" w:hAnsi="Arial"/>
          <w:b w:val="1"/>
          <w:bCs w:val="1"/>
          <w:sz w:val="22"/>
          <w:szCs w:val="22"/>
          <w:rtl w:val="0"/>
        </w:rPr>
        <w:t xml:space="preserve">Dataset Name: </w:t>
      </w:r>
      <w:r w:rsidDel="00000000" w:rsidR="00000000" w:rsidRPr="00000000">
        <w:rPr>
          <w:rFonts w:ascii="Arial" w:cs="Arial" w:eastAsia="Arial" w:hAnsi="Arial"/>
          <w:sz w:val="22"/>
          <w:szCs w:val="22"/>
          <w:rtl w:val="0"/>
        </w:rPr>
        <w:t xml:space="preserve">WA_Fn-UseC_-Telco-Customer-Churn.csv</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b w:val="1"/>
          <w:bCs w:val="1"/>
          <w:sz w:val="22"/>
          <w:szCs w:val="22"/>
          <w:rtl w:val="0"/>
        </w:rPr>
        <w:t xml:space="preserve">Source: </w:t>
      </w:r>
      <w:r w:rsidDel="00000000" w:rsidR="00000000" w:rsidRPr="00000000">
        <w:rPr>
          <w:rFonts w:ascii="Arial" w:cs="Arial" w:eastAsia="Arial" w:hAnsi="Arial"/>
          <w:sz w:val="22"/>
          <w:szCs w:val="22"/>
          <w:rtl w:val="0"/>
        </w:rPr>
        <w:t xml:space="preserve">IBM Sample Data / Kaggle</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b w:val="1"/>
          <w:bCs w:val="1"/>
          <w:sz w:val="22"/>
          <w:szCs w:val="22"/>
          <w:rtl w:val="0"/>
        </w:rPr>
        <w:t xml:space="preserve">Domain: </w:t>
      </w:r>
      <w:r w:rsidDel="00000000" w:rsidR="00000000" w:rsidRPr="00000000">
        <w:rPr>
          <w:rFonts w:ascii="Arial" w:cs="Arial" w:eastAsia="Arial" w:hAnsi="Arial"/>
          <w:sz w:val="22"/>
          <w:szCs w:val="22"/>
          <w:rtl w:val="0"/>
        </w:rPr>
        <w:t xml:space="preserve">Telecommunications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b w:val="1"/>
          <w:bCs w:val="1"/>
          <w:sz w:val="22"/>
          <w:szCs w:val="22"/>
          <w:rtl w:val="0"/>
        </w:rPr>
        <w:t xml:space="preserve">Number of Records: </w:t>
      </w:r>
      <w:r w:rsidDel="00000000" w:rsidR="00000000" w:rsidRPr="00000000">
        <w:rPr>
          <w:rFonts w:ascii="Arial" w:cs="Arial" w:eastAsia="Arial" w:hAnsi="Arial"/>
          <w:sz w:val="22"/>
          <w:szCs w:val="22"/>
          <w:rtl w:val="0"/>
        </w:rPr>
        <w:t xml:space="preserve">7,043 customers</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b w:val="1"/>
          <w:bCs w:val="1"/>
          <w:sz w:val="22"/>
          <w:szCs w:val="22"/>
          <w:rtl w:val="0"/>
        </w:rPr>
        <w:t xml:space="preserve">Number of Features: </w:t>
      </w:r>
      <w:r w:rsidDel="00000000" w:rsidR="00000000" w:rsidRPr="00000000">
        <w:rPr>
          <w:rFonts w:ascii="Arial" w:cs="Arial" w:eastAsia="Arial" w:hAnsi="Arial"/>
          <w:sz w:val="22"/>
          <w:szCs w:val="22"/>
          <w:rtl w:val="0"/>
        </w:rPr>
        <w:t xml:space="preserve">21 (raw), expanded to 34 after encoding and feature engineering</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1"/>
          <w:bCs w:val="1"/>
          <w:sz w:val="22"/>
          <w:szCs w:val="22"/>
          <w:rtl w:val="0"/>
        </w:rPr>
        <w:t xml:space="preserve">Time Period: </w:t>
      </w:r>
      <w:r w:rsidDel="00000000" w:rsidR="00000000" w:rsidRPr="00000000">
        <w:rPr>
          <w:rFonts w:ascii="Arial" w:cs="Arial" w:eastAsia="Arial" w:hAnsi="Arial"/>
          <w:sz w:val="22"/>
          <w:szCs w:val="22"/>
          <w:rtl w:val="0"/>
        </w:rPr>
        <w:t xml:space="preserve">Q3 snapshot</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b w:val="1"/>
          <w:bCs w:val="1"/>
          <w:sz w:val="22"/>
          <w:szCs w:val="22"/>
          <w:rtl w:val="0"/>
        </w:rPr>
        <w:t xml:space="preserve">Data Format: </w:t>
      </w:r>
      <w:r w:rsidDel="00000000" w:rsidR="00000000" w:rsidRPr="00000000">
        <w:rPr>
          <w:rFonts w:ascii="Arial" w:cs="Arial" w:eastAsia="Arial" w:hAnsi="Arial"/>
          <w:sz w:val="22"/>
          <w:szCs w:val="22"/>
          <w:rtl w:val="0"/>
        </w:rPr>
        <w:t xml:space="preserve">CSV</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Feature Metadata Table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4160"/>
        <w:gridCol w:w="1600"/>
        <w:tblGridChange w:id="0">
          <w:tblGrid>
            <w:gridCol w:w="2200"/>
            <w:gridCol w:w="1400"/>
            <w:gridCol w:w="416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Sample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customerID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Nominal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Unique customer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7590-VHVEG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Customer 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Female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SeniorCitizen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Whether customer is a senior citizen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0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Whether customer has a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Dependents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Whether customer has dependents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tenure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Number of months with the 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1–72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PhoneService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Whether customer has phone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MultipleLines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Whether customer has multiple 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Yes/No/No 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InternetService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Customer’s internet service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DSL/Fiber/No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OnlineSecurity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Whether customer has online security add-on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Yes/No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TechSupport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Whether customer has tech support add-on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Yes/No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Customer’s contract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Month/1yr/2yr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MonthlyCharges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Amount charged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$18–$119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TotalCharges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Total amount charged over tenure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$0–$8,685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Churn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Whether customer left the 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Yes / No</w:t>
            </w:r>
            <w:r w:rsidDel="00000000" w:rsidR="00000000" w:rsidRPr="00000000">
              <w:rPr>
                <w:rtl w:val="0"/>
              </w:rPr>
            </w:r>
          </w:p>
        </w:tc>
      </w:tr>
    </w:tbl>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tl w:val="0"/>
        </w:rPr>
        <w:t xml:space="preserve">As we can see in Figure 1, customer churn is mainly influenced by tenure, total charges, contract type, and monthly spending.</w:t>
      </w:r>
    </w:p>
    <w:p w:rsidR="00000000" w:rsidDel="00000000" w:rsidP="00000000" w:rsidRDefault="00000000" w:rsidRPr="00000000" w14:paraId="0000006B">
      <w:pPr>
        <w:spacing w:after="200" w:line="276" w:lineRule="auto"/>
        <w:jc w:val="center"/>
        <w:rPr>
          <w:rFonts w:ascii="Cambria" w:cs="Cambria" w:eastAsia="Cambria" w:hAnsi="Cambria"/>
        </w:rPr>
      </w:pPr>
      <w:r w:rsidDel="00000000" w:rsidR="00000000" w:rsidRPr="00000000">
        <w:rPr>
          <w:rFonts w:ascii="Cambria" w:cs="Cambria" w:eastAsia="Cambria" w:hAnsi="Cambria"/>
        </w:rPr>
        <w:drawing>
          <wp:inline distB="0" distT="0" distL="114300" distR="114300">
            <wp:extent cx="5486400" cy="24384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276" w:lineRule="auto"/>
        <w:jc w:val="center"/>
        <w:rPr/>
      </w:pPr>
      <w:r w:rsidDel="00000000" w:rsidR="00000000" w:rsidRPr="00000000">
        <w:rPr>
          <w:rFonts w:ascii="Cambria" w:cs="Cambria" w:eastAsia="Cambria" w:hAnsi="Cambria"/>
          <w:i w:val="1"/>
          <w:iCs w:val="1"/>
          <w:sz w:val="20"/>
          <w:szCs w:val="20"/>
          <w:rtl w:val="0"/>
        </w:rPr>
        <w:t xml:space="preserve">Figure 1. Customer churn distribution</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Data Quality Notes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Values: No null values detected across all 21 columns. However, TotalCharges contained 11 blank strings (new customers with zero charges) that were coerced to 0.0.</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Imbalance: The target variable is imbalanced — 73.5% non-churn vs. 26.5% churn. This was addressed using class_weight=‘balanced’ and scale_pos_weight parameters.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Type Issue: TotalCharges was stored as object (string) in the raw CSV and required conversion to float.</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2">
      <w:pPr>
        <w:spacing w:after="2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6. Data Preprocessing</w:t>
      </w:r>
    </w:p>
    <w:p w:rsidR="00000000" w:rsidDel="00000000" w:rsidP="00000000" w:rsidRDefault="00000000" w:rsidRPr="00000000" w14:paraId="00000075">
      <w:pPr>
        <w:spacing w:after="120" w:lineRule="auto"/>
        <w:rPr/>
      </w:pPr>
      <w:r w:rsidDel="00000000" w:rsidR="00000000" w:rsidRPr="00000000">
        <w:rPr>
          <w:rFonts w:ascii="Arial" w:cs="Arial" w:eastAsia="Arial" w:hAnsi="Arial"/>
          <w:sz w:val="22"/>
          <w:szCs w:val="22"/>
          <w:rtl w:val="0"/>
        </w:rPr>
        <w:t xml:space="preserve">The raw dataset underwent a structured cleaning and transformation pipeline to prepare it for machine learning:</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6.1 Handling Missing / Invalid Values</w:t>
      </w:r>
    </w:p>
    <w:p w:rsidR="00000000" w:rsidDel="00000000" w:rsidP="00000000" w:rsidRDefault="00000000" w:rsidRPr="00000000" w14:paraId="00000077">
      <w:pPr>
        <w:spacing w:after="120" w:lineRule="auto"/>
        <w:rPr/>
      </w:pPr>
      <w:r w:rsidDel="00000000" w:rsidR="00000000" w:rsidRPr="00000000">
        <w:rPr>
          <w:rFonts w:ascii="Arial" w:cs="Arial" w:eastAsia="Arial" w:hAnsi="Arial"/>
          <w:sz w:val="22"/>
          <w:szCs w:val="22"/>
          <w:rtl w:val="0"/>
        </w:rPr>
        <w:t xml:space="preserve">The TotalCharges column was stored as a string in the source CSV. It was converted to numeric using pd.to_numeric with errors coerced to NaN. Eleven blank entries (new customers) were filled with 0.0, reflecting zero charges for zero-tenure customers.</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6.2 Dropping Non-Predictive Columns</w:t>
      </w:r>
    </w:p>
    <w:p w:rsidR="00000000" w:rsidDel="00000000" w:rsidP="00000000" w:rsidRDefault="00000000" w:rsidRPr="00000000" w14:paraId="00000079">
      <w:pPr>
        <w:spacing w:after="120" w:lineRule="auto"/>
        <w:rPr/>
      </w:pPr>
      <w:r w:rsidDel="00000000" w:rsidR="00000000" w:rsidRPr="00000000">
        <w:rPr>
          <w:rFonts w:ascii="Arial" w:cs="Arial" w:eastAsia="Arial" w:hAnsi="Arial"/>
          <w:sz w:val="22"/>
          <w:szCs w:val="22"/>
          <w:rtl w:val="0"/>
        </w:rPr>
        <w:t xml:space="preserve">The customerID column was removed as it is a unique identifier with no predictive signal.</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6.3 Target Encoding</w:t>
      </w:r>
    </w:p>
    <w:p w:rsidR="00000000" w:rsidDel="00000000" w:rsidP="00000000" w:rsidRDefault="00000000" w:rsidRPr="00000000" w14:paraId="0000007B">
      <w:pPr>
        <w:spacing w:after="120" w:lineRule="auto"/>
        <w:rPr/>
      </w:pPr>
      <w:r w:rsidDel="00000000" w:rsidR="00000000" w:rsidRPr="00000000">
        <w:rPr>
          <w:rFonts w:ascii="Arial" w:cs="Arial" w:eastAsia="Arial" w:hAnsi="Arial"/>
          <w:sz w:val="22"/>
          <w:szCs w:val="22"/>
          <w:rtl w:val="0"/>
        </w:rPr>
        <w:t xml:space="preserve">The Churn column was converted from Yes/No text to binary 1/0 integers.</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6.4 Categorical Encoding</w:t>
      </w:r>
    </w:p>
    <w:p w:rsidR="00000000" w:rsidDel="00000000" w:rsidP="00000000" w:rsidRDefault="00000000" w:rsidRPr="00000000" w14:paraId="0000007D">
      <w:pPr>
        <w:spacing w:after="120" w:lineRule="auto"/>
        <w:rPr/>
      </w:pPr>
      <w:r w:rsidDel="00000000" w:rsidR="00000000" w:rsidRPr="00000000">
        <w:rPr>
          <w:rFonts w:ascii="Arial" w:cs="Arial" w:eastAsia="Arial" w:hAnsi="Arial"/>
          <w:sz w:val="22"/>
          <w:szCs w:val="22"/>
          <w:rtl w:val="0"/>
        </w:rPr>
        <w:t xml:space="preserve">Binary columns (gender, Partner, Dependents, PhoneService, PaperlessBilling) were mapped to 1/0 using an explicit dictionary. Multi-class columns (InternetService, Contract, PaymentMethod, MultipleLines, OnlineSecurity, OnlineBackup, DeviceProtection, TechSupport, StreamingTV, StreamingMovies) were one-hot encoded with drop_first=True to avoid multicollinearity. This expanded the feature set from 21 to 31 columns.</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6.5 Feature Engineering</w:t>
      </w:r>
    </w:p>
    <w:p w:rsidR="00000000" w:rsidDel="00000000" w:rsidP="00000000" w:rsidRDefault="00000000" w:rsidRPr="00000000" w14:paraId="0000007F">
      <w:pPr>
        <w:spacing w:after="120" w:lineRule="auto"/>
        <w:rPr/>
      </w:pPr>
      <w:r w:rsidDel="00000000" w:rsidR="00000000" w:rsidRPr="00000000">
        <w:rPr>
          <w:rFonts w:ascii="Arial" w:cs="Arial" w:eastAsia="Arial" w:hAnsi="Arial"/>
          <w:sz w:val="22"/>
          <w:szCs w:val="22"/>
          <w:rtl w:val="0"/>
        </w:rPr>
        <w:t xml:space="preserve">Three domain-informed features were created to improve model performance: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AvgMonthlySpend: TotalCharges divided by tenure, normalizing spend across customer lifetimes.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IsNewCustomer: Binary flag for customers with tenure &lt; 12 months (the highest churn risk window).</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NumAddonServices: Count of additional services subscribed (Streaming, Online, Device, Tech), representing switching cost.</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6.6 Feature Scaling</w:t>
      </w:r>
    </w:p>
    <w:p w:rsidR="00000000" w:rsidDel="00000000" w:rsidP="00000000" w:rsidRDefault="00000000" w:rsidRPr="00000000" w14:paraId="00000084">
      <w:pPr>
        <w:spacing w:after="120" w:lineRule="auto"/>
        <w:rPr/>
      </w:pPr>
      <w:r w:rsidDel="00000000" w:rsidR="00000000" w:rsidRPr="00000000">
        <w:rPr>
          <w:rFonts w:ascii="Arial" w:cs="Arial" w:eastAsia="Arial" w:hAnsi="Arial"/>
          <w:sz w:val="22"/>
          <w:szCs w:val="22"/>
          <w:rtl w:val="0"/>
        </w:rPr>
        <w:t xml:space="preserve">StandardScaler was applied to normalize numerical features to mean=0, std=1. Critically, the scaler was fit only on the training set and then applied to the test set, preventing data leakage. This step is essential for Logistic Regression but not required for tree-based models.</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7. Exploratory Data Analysis</w:t>
      </w:r>
    </w:p>
    <w:p w:rsidR="00000000" w:rsidDel="00000000" w:rsidP="00000000" w:rsidRDefault="00000000" w:rsidRPr="00000000" w14:paraId="00000087">
      <w:pPr>
        <w:pStyle w:val="Heading2"/>
        <w:rPr/>
      </w:pPr>
      <w:r w:rsidDel="00000000" w:rsidR="00000000" w:rsidRPr="00000000">
        <w:rPr>
          <w:rtl w:val="0"/>
        </w:rPr>
        <w:t xml:space="preserve">7.1 Target Distribution</w:t>
      </w:r>
    </w:p>
    <w:p w:rsidR="00000000" w:rsidDel="00000000" w:rsidP="00000000" w:rsidRDefault="00000000" w:rsidRPr="00000000" w14:paraId="00000088">
      <w:pPr>
        <w:spacing w:after="120" w:lineRule="auto"/>
        <w:rPr/>
      </w:pPr>
      <w:r w:rsidDel="00000000" w:rsidR="00000000" w:rsidRPr="00000000">
        <w:rPr>
          <w:rFonts w:ascii="Arial" w:cs="Arial" w:eastAsia="Arial" w:hAnsi="Arial"/>
          <w:sz w:val="22"/>
          <w:szCs w:val="22"/>
          <w:rtl w:val="0"/>
        </w:rPr>
        <w:t xml:space="preserve">The churn rate in the dataset is approximately 26.5% (1,869 churners out of 7,043 customers). This means roughly 1 in 4 customers left the service — a significant and costly problem. The class imbalance (73.5% vs 26.5%) required careful handling during modelling.</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7.2 Key Churn Drivers (Visual Analysis)</w:t>
      </w:r>
    </w:p>
    <w:p w:rsidR="00000000" w:rsidDel="00000000" w:rsidP="00000000" w:rsidRDefault="00000000" w:rsidRPr="00000000" w14:paraId="0000008A">
      <w:pPr>
        <w:spacing w:after="120" w:lineRule="auto"/>
        <w:rPr/>
      </w:pPr>
      <w:r w:rsidDel="00000000" w:rsidR="00000000" w:rsidRPr="00000000">
        <w:rPr>
          <w:rFonts w:ascii="Arial" w:cs="Arial" w:eastAsia="Arial" w:hAnsi="Arial"/>
          <w:sz w:val="22"/>
          <w:szCs w:val="22"/>
          <w:rtl w:val="0"/>
        </w:rPr>
        <w:t xml:space="preserve">Six key categorical features were analyzed for their relationship with churn: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Type: Month-to-month customers churn at ~42%, dramatically higher than one-year (~11%) or two-year (~3%) contract holders.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Service: Fiber optic customers show higher churn rates, suggesting price or service dissatisfaction.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Support &amp; Online Security: Customers without these add-on services churn significantly more.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Citizens: Senior customers churn at higher rates than non-seniors.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Method: Electronic check users show the highest churn, correlating with less committed billing relationships.</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7.3 Correlation &amp; Feature Patterns</w:t>
      </w:r>
    </w:p>
    <w:p w:rsidR="00000000" w:rsidDel="00000000" w:rsidP="00000000" w:rsidRDefault="00000000" w:rsidRPr="00000000" w14:paraId="00000091">
      <w:pPr>
        <w:spacing w:after="120" w:lineRule="auto"/>
        <w:rPr/>
      </w:pPr>
      <w:r w:rsidDel="00000000" w:rsidR="00000000" w:rsidRPr="00000000">
        <w:rPr>
          <w:rFonts w:ascii="Arial" w:cs="Arial" w:eastAsia="Arial" w:hAnsi="Arial"/>
          <w:sz w:val="22"/>
          <w:szCs w:val="22"/>
          <w:rtl w:val="0"/>
        </w:rPr>
        <w:t xml:space="preserve">Tenure and TotalCharges show strong positive correlation. MonthlyCharges and the number of add-on services are also correlated. The engineered features (AvgMonthlySpend, IsNewCustomer) capture additional signal not directly present in raw columns.</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8. Model Development</w:t>
      </w:r>
    </w:p>
    <w:p w:rsidR="00000000" w:rsidDel="00000000" w:rsidP="00000000" w:rsidRDefault="00000000" w:rsidRPr="00000000" w14:paraId="00000094">
      <w:pPr>
        <w:pStyle w:val="Heading2"/>
        <w:rPr/>
      </w:pPr>
      <w:r w:rsidDel="00000000" w:rsidR="00000000" w:rsidRPr="00000000">
        <w:rPr>
          <w:rtl w:val="0"/>
        </w:rPr>
        <w:t xml:space="preserve">8.1 Algorithms Used</w:t>
      </w:r>
    </w:p>
    <w:p w:rsidR="00000000" w:rsidDel="00000000" w:rsidP="00000000" w:rsidRDefault="00000000" w:rsidRPr="00000000" w14:paraId="00000095">
      <w:pPr>
        <w:spacing w:after="120" w:lineRule="auto"/>
        <w:rPr/>
      </w:pPr>
      <w:r w:rsidDel="00000000" w:rsidR="00000000" w:rsidRPr="00000000">
        <w:rPr>
          <w:rFonts w:ascii="Arial" w:cs="Arial" w:eastAsia="Arial" w:hAnsi="Arial"/>
          <w:sz w:val="22"/>
          <w:szCs w:val="22"/>
          <w:rtl w:val="0"/>
        </w:rPr>
        <w:t xml:space="preserve">Three classification algorithms were trained and compared: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560"/>
        <w:tblGridChange w:id="0">
          <w:tblGrid>
            <w:gridCol w:w="2400"/>
            <w:gridCol w:w="34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Key Characteristic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Linear /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Simple, interpretable, fast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Ensemble (Bagging)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200 trees voting; handles non-linearity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Ensemble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Sequential trees learning from errors</w:t>
            </w:r>
            <w:r w:rsidDel="00000000" w:rsidR="00000000" w:rsidRPr="00000000">
              <w:rPr>
                <w:rtl w:val="0"/>
              </w:rPr>
            </w:r>
          </w:p>
        </w:tc>
      </w:tr>
    </w:tbl>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8.2 Train-Test Split</w:t>
      </w:r>
    </w:p>
    <w:p w:rsidR="00000000" w:rsidDel="00000000" w:rsidP="00000000" w:rsidRDefault="00000000" w:rsidRPr="00000000" w14:paraId="000000A4">
      <w:pPr>
        <w:spacing w:after="120" w:lineRule="auto"/>
        <w:rPr/>
      </w:pPr>
      <w:r w:rsidDel="00000000" w:rsidR="00000000" w:rsidRPr="00000000">
        <w:rPr>
          <w:rFonts w:ascii="Arial" w:cs="Arial" w:eastAsia="Arial" w:hAnsi="Arial"/>
          <w:sz w:val="22"/>
          <w:szCs w:val="22"/>
          <w:rtl w:val="0"/>
        </w:rPr>
        <w:t xml:space="preserve">The dataset was split 80/20 using stratified sampling to preserve the churn ratio in both sets. The training set contained 5,634 customers and the testing set contained 1,409 customers. Both sets maintained a 26.5% churn rate, confirming representative splits.</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8.3 Cross-Validation</w:t>
      </w:r>
    </w:p>
    <w:p w:rsidR="00000000" w:rsidDel="00000000" w:rsidP="00000000" w:rsidRDefault="00000000" w:rsidRPr="00000000" w14:paraId="000000A6">
      <w:pPr>
        <w:spacing w:after="120" w:lineRule="auto"/>
        <w:rPr/>
      </w:pPr>
      <w:r w:rsidDel="00000000" w:rsidR="00000000" w:rsidRPr="00000000">
        <w:rPr>
          <w:rFonts w:ascii="Arial" w:cs="Arial" w:eastAsia="Arial" w:hAnsi="Arial"/>
          <w:sz w:val="22"/>
          <w:szCs w:val="22"/>
          <w:rtl w:val="0"/>
        </w:rPr>
        <w:t xml:space="preserve">5-fold cross-validation was performed on each model using the F1 metric. This provides a stability estimate and guards against overfitting to a single train-test split.</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8.4 Hyperparameter Tuning</w:t>
      </w:r>
    </w:p>
    <w:p w:rsidR="00000000" w:rsidDel="00000000" w:rsidP="00000000" w:rsidRDefault="00000000" w:rsidRPr="00000000" w14:paraId="000000A8">
      <w:pPr>
        <w:spacing w:after="120" w:lineRule="auto"/>
        <w:rPr/>
      </w:pPr>
      <w:r w:rsidDel="00000000" w:rsidR="00000000" w:rsidRPr="00000000">
        <w:rPr>
          <w:rFonts w:ascii="Arial" w:cs="Arial" w:eastAsia="Arial" w:hAnsi="Arial"/>
          <w:sz w:val="22"/>
          <w:szCs w:val="22"/>
          <w:rtl w:val="0"/>
        </w:rPr>
        <w:t xml:space="preserve">GridSearchCV was applied to all three models with the following search spaces: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67136425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Logistic Regression: C ∈ {0.01, 0.1, 1, 10, 100}, solver ∈ {lbfgs, liblinear}, penalty = l2</w:t>
          </w:r>
        </w:sdtContent>
      </w:sdt>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663950821"/>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Random Forest: n_estimators ∈ {100, 200, 300}, max_depth ∈ {10, 15, 20, None}, min_samples_leaf ∈ {1, 2, 4}</w:t>
          </w:r>
        </w:sdtContent>
      </w:sdt>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sdt>
        <w:sdtPr>
          <w:id w:val="-287044374"/>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XGBoost: learning_rate ∈ {0.01, 0.05, 0.1, 0.2}, max_depth ∈ {3, 5, 7}, n_estimators ∈ {100, 200, 300}</w:t>
          </w:r>
        </w:sdtContent>
      </w:sdt>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Arial" w:cs="Arial" w:eastAsia="Arial" w:hAnsi="Arial"/>
          <w:sz w:val="22"/>
          <w:szCs w:val="22"/>
          <w:rtl w:val="0"/>
        </w:rPr>
        <w:t xml:space="preserve">Best parameters found: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Best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Best CV F1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C=0.01, penalty=l2, solver=lbfgs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0.6337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max_depth=10, min_samples_leaf=4, n_estimators=300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0.6374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learning_rate=0.1, max_depth=3, n_estimators=100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0.6326</w:t>
            </w:r>
            <w:r w:rsidDel="00000000" w:rsidR="00000000" w:rsidRPr="00000000">
              <w:rPr>
                <w:rtl w:val="0"/>
              </w:rPr>
            </w:r>
          </w:p>
        </w:tc>
      </w:tr>
    </w:tbl>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9. Model Evaluation</w:t>
      </w:r>
    </w:p>
    <w:p w:rsidR="00000000" w:rsidDel="00000000" w:rsidP="00000000" w:rsidRDefault="00000000" w:rsidRPr="00000000" w14:paraId="000000BB">
      <w:pPr>
        <w:pStyle w:val="Heading2"/>
        <w:rPr/>
      </w:pPr>
      <w:r w:rsidDel="00000000" w:rsidR="00000000" w:rsidRPr="00000000">
        <w:rPr>
          <w:rtl w:val="0"/>
        </w:rPr>
        <w:t xml:space="preserve">9.1 Performance Metrics</w:t>
      </w:r>
    </w:p>
    <w:p w:rsidR="00000000" w:rsidDel="00000000" w:rsidP="00000000" w:rsidRDefault="00000000" w:rsidRPr="00000000" w14:paraId="000000BC">
      <w:pPr>
        <w:spacing w:after="120" w:lineRule="auto"/>
        <w:rPr/>
      </w:pPr>
      <w:r w:rsidDel="00000000" w:rsidR="00000000" w:rsidRPr="00000000">
        <w:rPr>
          <w:rFonts w:ascii="Arial" w:cs="Arial" w:eastAsia="Arial" w:hAnsi="Arial"/>
          <w:sz w:val="22"/>
          <w:szCs w:val="22"/>
          <w:rtl w:val="0"/>
        </w:rPr>
        <w:t xml:space="preserve">All models were evaluated on the held-out test set (1,409 customers) using the following classification metrics: Accuracy, Precision, Recall, F1-Score, ROC-AUC, and PR-AUC. The confusion matrix for each model was generated to visualize true/false positive and negative distributions.</w:t>
      </w: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rtl w:val="0"/>
        </w:rPr>
        <w:t xml:space="preserve">9.2 Model Selection</w:t>
      </w:r>
    </w:p>
    <w:p w:rsidR="00000000" w:rsidDel="00000000" w:rsidP="00000000" w:rsidRDefault="00000000" w:rsidRPr="00000000" w14:paraId="000000BE">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Random Forest model was selected as the best-performing model based on the highest F1-Score (0.6374 after hyperparameter tuning). F1-Score was chosen as the primary metric because it balances precision (avoiding wasted retention spend on loyal customers) and recall (catching as many actual churners as possible).</w:t>
      </w:r>
    </w:p>
    <w:p w:rsidR="00000000" w:rsidDel="00000000" w:rsidP="00000000" w:rsidRDefault="00000000" w:rsidRPr="00000000" w14:paraId="000000BF">
      <w:pPr>
        <w:spacing w:after="120" w:lineRule="auto"/>
        <w:rPr/>
      </w:pPr>
      <w:r w:rsidDel="00000000" w:rsidR="00000000" w:rsidRPr="00000000">
        <w:rPr>
          <w:rtl w:val="0"/>
        </w:rPr>
        <w:t xml:space="preserve">As we can see in Figure 2, the Random Forest model performs slightly better than the other models based on the F1-score.</w:t>
      </w:r>
    </w:p>
    <w:p w:rsidR="00000000" w:rsidDel="00000000" w:rsidP="00000000" w:rsidRDefault="00000000" w:rsidRPr="00000000" w14:paraId="000000C0">
      <w:pPr>
        <w:spacing w:after="200" w:line="276" w:lineRule="auto"/>
        <w:jc w:val="center"/>
        <w:rPr>
          <w:rFonts w:ascii="Cambria" w:cs="Cambria" w:eastAsia="Cambria" w:hAnsi="Cambria"/>
        </w:rPr>
      </w:pPr>
      <w:r w:rsidDel="00000000" w:rsidR="00000000" w:rsidRPr="00000000">
        <w:rPr>
          <w:rFonts w:ascii="Cambria" w:cs="Cambria" w:eastAsia="Cambria" w:hAnsi="Cambria"/>
        </w:rPr>
        <w:drawing>
          <wp:inline distB="0" distT="0" distL="114300" distR="114300">
            <wp:extent cx="5486400" cy="2334358"/>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33435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00" w:line="276" w:lineRule="auto"/>
        <w:jc w:val="center"/>
        <w:rPr>
          <w:i w:val="1"/>
          <w:iCs w:val="1"/>
          <w:sz w:val="20"/>
          <w:szCs w:val="20"/>
        </w:rPr>
      </w:pPr>
      <w:r w:rsidDel="00000000" w:rsidR="00000000" w:rsidRPr="00000000">
        <w:rPr>
          <w:rFonts w:ascii="Cambria" w:cs="Cambria" w:eastAsia="Cambria" w:hAnsi="Cambria"/>
          <w:i w:val="1"/>
          <w:iCs w:val="1"/>
          <w:sz w:val="20"/>
          <w:szCs w:val="20"/>
          <w:rtl w:val="0"/>
        </w:rPr>
        <w:t xml:space="preserve">Figure 2. Model performance comparison</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9.3 ROC Curve Analysis</w:t>
      </w:r>
    </w:p>
    <w:p w:rsidR="00000000" w:rsidDel="00000000" w:rsidP="00000000" w:rsidRDefault="00000000" w:rsidRPr="00000000" w14:paraId="000000C3">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ROC curves were plotted for all three models. All models performed substantially better than random guessing (AUC = 0.5). The curves bow toward the top-left corner, indicating strong discrimination between churners and non-churners.</w:t>
      </w:r>
    </w:p>
    <w:p w:rsidR="00000000" w:rsidDel="00000000" w:rsidP="00000000" w:rsidRDefault="00000000" w:rsidRPr="00000000" w14:paraId="000000C4">
      <w:pPr>
        <w:spacing w:after="200" w:line="276" w:lineRule="auto"/>
        <w:jc w:val="center"/>
        <w:rPr>
          <w:rFonts w:ascii="Cambria" w:cs="Cambria" w:eastAsia="Cambria" w:hAnsi="Cambria"/>
        </w:rPr>
      </w:pPr>
      <w:r w:rsidDel="00000000" w:rsidR="00000000" w:rsidRPr="00000000">
        <w:rPr>
          <w:rFonts w:ascii="Cambria" w:cs="Cambria" w:eastAsia="Cambria" w:hAnsi="Cambria"/>
        </w:rPr>
        <w:drawing>
          <wp:inline distB="0" distT="0" distL="114300" distR="114300">
            <wp:extent cx="4700588" cy="3288779"/>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00588" cy="328877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00" w:line="276" w:lineRule="auto"/>
        <w:jc w:val="cente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Figure 3. ROC model comparison</w:t>
      </w:r>
    </w:p>
    <w:p w:rsidR="00000000" w:rsidDel="00000000" w:rsidP="00000000" w:rsidRDefault="00000000" w:rsidRPr="00000000" w14:paraId="000000C6">
      <w:pPr>
        <w:spacing w:after="200" w:line="276" w:lineRule="auto"/>
        <w:rPr>
          <w:rFonts w:ascii="Cambria" w:cs="Cambria" w:eastAsia="Cambria" w:hAnsi="Cambria"/>
          <w:i w:val="1"/>
          <w:iCs w:val="1"/>
          <w:sz w:val="20"/>
          <w:szCs w:val="20"/>
        </w:rPr>
      </w:pPr>
      <w:r w:rsidDel="00000000" w:rsidR="00000000" w:rsidRPr="00000000">
        <w:rPr>
          <w:rtl w:val="0"/>
        </w:rPr>
        <w:t xml:space="preserve">Figure 3 shows that all three models show similar predictive performance with ROC-AUC values around 0.84.</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9.4 Confusion Matrix Interpretation</w:t>
      </w:r>
    </w:p>
    <w:p w:rsidR="00000000" w:rsidDel="00000000" w:rsidP="00000000" w:rsidRDefault="00000000" w:rsidRPr="00000000" w14:paraId="000000C8">
      <w:pPr>
        <w:spacing w:after="120" w:lineRule="auto"/>
        <w:rPr/>
      </w:pPr>
      <w:r w:rsidDel="00000000" w:rsidR="00000000" w:rsidRPr="00000000">
        <w:rPr>
          <w:rFonts w:ascii="Arial" w:cs="Arial" w:eastAsia="Arial" w:hAnsi="Arial"/>
          <w:sz w:val="22"/>
          <w:szCs w:val="22"/>
          <w:rtl w:val="0"/>
        </w:rPr>
        <w:t xml:space="preserve">The confusion matrix for the selected Random Forest model shows the breakdown of: correctly predicted stayed (true negatives), incorrectly predicted churned (false positives), missed churners (false negatives), and correctly predicted churned (true positives). The business goal is to minimize false negatives — these are churners the model fails to identify.</w:t>
      </w: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10. Experiment Tracking</w:t>
      </w:r>
    </w:p>
    <w:p w:rsidR="00000000" w:rsidDel="00000000" w:rsidP="00000000" w:rsidRDefault="00000000" w:rsidRPr="00000000" w14:paraId="000000CA">
      <w:pPr>
        <w:spacing w:after="120" w:lineRule="auto"/>
        <w:rPr/>
      </w:pPr>
      <w:r w:rsidDel="00000000" w:rsidR="00000000" w:rsidRPr="00000000">
        <w:rPr>
          <w:rFonts w:ascii="Arial" w:cs="Arial" w:eastAsia="Arial" w:hAnsi="Arial"/>
          <w:sz w:val="22"/>
          <w:szCs w:val="22"/>
          <w:rtl w:val="0"/>
        </w:rPr>
        <w:t xml:space="preserve">The following experiments were conducted during model development: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1400"/>
        <w:gridCol w:w="3960"/>
        <w:tblGridChange w:id="0">
          <w:tblGrid>
            <w:gridCol w:w="1400"/>
            <w:gridCol w:w="2600"/>
            <w:gridCol w:w="1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Experiment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F1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Exp-1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Default params, class_weight=balanced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Exp-2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Default params (200 trees, depth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Exp-3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Default params, scale_pos_weight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Exp-4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Tuned 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0.6337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GridSearchCV: C=0.01, solver=lbfgs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Exp-5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Tuned 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0.6374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GridSearchCV: depth=10, leaf=4, trees=300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Exp-6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Tuned 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0.6326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GridSearchCV: lr=0.1, depth=3, trees=100</w:t>
            </w:r>
            <w:r w:rsidDel="00000000" w:rsidR="00000000" w:rsidRPr="00000000">
              <w:rPr>
                <w:rtl w:val="0"/>
              </w:rPr>
            </w:r>
          </w:p>
        </w:tc>
      </w:tr>
    </w:tbl>
    <w:p w:rsidR="00000000" w:rsidDel="00000000" w:rsidP="00000000" w:rsidRDefault="00000000" w:rsidRPr="00000000" w14:paraId="000000E7">
      <w:pPr>
        <w:pStyle w:val="Heading1"/>
        <w:rPr/>
      </w:pPr>
      <w:r w:rsidDel="00000000" w:rsidR="00000000" w:rsidRPr="00000000">
        <w:rPr>
          <w:rtl w:val="0"/>
        </w:rPr>
        <w:t xml:space="preserve">11. Deployment Details</w:t>
      </w:r>
    </w:p>
    <w:p w:rsidR="00000000" w:rsidDel="00000000" w:rsidP="00000000" w:rsidRDefault="00000000" w:rsidRPr="00000000" w14:paraId="000000E8">
      <w:pPr>
        <w:pStyle w:val="Heading2"/>
        <w:rPr/>
      </w:pPr>
      <w:r w:rsidDel="00000000" w:rsidR="00000000" w:rsidRPr="00000000">
        <w:rPr>
          <w:rtl w:val="0"/>
        </w:rPr>
        <w:t xml:space="preserve">11.1 Model Artefacts</w:t>
      </w:r>
    </w:p>
    <w:p w:rsidR="00000000" w:rsidDel="00000000" w:rsidP="00000000" w:rsidRDefault="00000000" w:rsidRPr="00000000" w14:paraId="000000E9">
      <w:pPr>
        <w:spacing w:after="120" w:lineRule="auto"/>
        <w:rPr/>
      </w:pPr>
      <w:r w:rsidDel="00000000" w:rsidR="00000000" w:rsidRPr="00000000">
        <w:rPr>
          <w:rFonts w:ascii="Arial" w:cs="Arial" w:eastAsia="Arial" w:hAnsi="Arial"/>
          <w:sz w:val="22"/>
          <w:szCs w:val="22"/>
          <w:rtl w:val="0"/>
        </w:rPr>
        <w:t xml:space="preserve">The trained model and preprocessing objects were serialized for production use: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best_model.pkl — The trained Random Forest classifier (joblib serialized)</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scaler.pkl — The fitted StandardScaler for feature normalization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feature_names.json — Ordered list of expected input features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model_card.json — Metadata including model name, training timestamp, F1 score, ROC-AUC, and configuration</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11.2 Recommended Production Architecture</w:t>
      </w:r>
    </w:p>
    <w:p w:rsidR="00000000" w:rsidDel="00000000" w:rsidP="00000000" w:rsidRDefault="00000000" w:rsidRPr="00000000" w14:paraId="000000EF">
      <w:pPr>
        <w:spacing w:after="120" w:lineRule="auto"/>
        <w:rPr/>
      </w:pPr>
      <w:r w:rsidDel="00000000" w:rsidR="00000000" w:rsidRPr="00000000">
        <w:rPr>
          <w:rFonts w:ascii="Arial" w:cs="Arial" w:eastAsia="Arial" w:hAnsi="Arial"/>
          <w:sz w:val="22"/>
          <w:szCs w:val="22"/>
          <w:rtl w:val="0"/>
        </w:rPr>
        <w:t xml:space="preserve">For deployment, the model can be served via a Flask or FastAPI REST endpoint that accepts customer feature vectors and returns churn probability scores. Containerization via Docker is recommended for portability. A Streamlit dashboard can provide a visual interface for the retention team to explore risk tiers and customer details.</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11.3 Operational Workflow</w:t>
      </w:r>
    </w:p>
    <w:p w:rsidR="00000000" w:rsidDel="00000000" w:rsidP="00000000" w:rsidRDefault="00000000" w:rsidRPr="00000000" w14:paraId="000000F1">
      <w:pPr>
        <w:spacing w:after="120" w:lineRule="auto"/>
        <w:rPr/>
      </w:pPr>
      <w:r w:rsidDel="00000000" w:rsidR="00000000" w:rsidRPr="00000000">
        <w:rPr>
          <w:rFonts w:ascii="Arial" w:cs="Arial" w:eastAsia="Arial" w:hAnsi="Arial"/>
          <w:sz w:val="22"/>
          <w:szCs w:val="22"/>
          <w:rtl w:val="0"/>
        </w:rPr>
        <w:t xml:space="preserve">The notebook defines a 4-step operational playbook: (1) Monthly scoring by the Data/IT team via CRM export, (2) Risk segmentation by the Analytics team into High/Medium/Low tiers, (3) Targeted outreach by the Retention team based on tier, and (4) Dashboard monitoring by BI for ongoing tracking.</w:t>
      </w: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12. Business Impact / Use Case</w:t>
      </w:r>
    </w:p>
    <w:p w:rsidR="00000000" w:rsidDel="00000000" w:rsidP="00000000" w:rsidRDefault="00000000" w:rsidRPr="00000000" w14:paraId="000000F3">
      <w:pPr>
        <w:pStyle w:val="Heading2"/>
        <w:rPr/>
      </w:pPr>
      <w:r w:rsidDel="00000000" w:rsidR="00000000" w:rsidRPr="00000000">
        <w:rPr>
          <w:rtl w:val="0"/>
        </w:rPr>
        <w:t xml:space="preserve">12.1 Revenue at Risk</w:t>
      </w:r>
    </w:p>
    <w:p w:rsidR="00000000" w:rsidDel="00000000" w:rsidP="00000000" w:rsidRDefault="00000000" w:rsidRPr="00000000" w14:paraId="000000F4">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With an average monthly revenue of $64.76 per customer and 1,869 churners, the estimated annual revenue at risk is approximately $1.45 million. Even conservatively retaining 20% of churners through targeted campaigns yields substantial net savings.</w:t>
      </w:r>
    </w:p>
    <w:p w:rsidR="00000000" w:rsidDel="00000000" w:rsidP="00000000" w:rsidRDefault="00000000" w:rsidRPr="00000000" w14:paraId="000000F5">
      <w:pPr>
        <w:spacing w:after="200" w:line="276" w:lineRule="auto"/>
        <w:jc w:val="center"/>
        <w:rPr>
          <w:rFonts w:ascii="Cambria" w:cs="Cambria" w:eastAsia="Cambria" w:hAnsi="Cambria"/>
        </w:rPr>
      </w:pPr>
      <w:r w:rsidDel="00000000" w:rsidR="00000000" w:rsidRPr="00000000">
        <w:rPr>
          <w:rFonts w:ascii="Cambria" w:cs="Cambria" w:eastAsia="Cambria" w:hAnsi="Cambria"/>
        </w:rPr>
        <w:drawing>
          <wp:inline distB="0" distT="0" distL="114300" distR="114300">
            <wp:extent cx="5224463" cy="3537396"/>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24463" cy="353739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00" w:line="276" w:lineRule="auto"/>
        <w:jc w:val="cente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Figure 4. Key churn drivers</w:t>
      </w:r>
    </w:p>
    <w:p w:rsidR="00000000" w:rsidDel="00000000" w:rsidP="00000000" w:rsidRDefault="00000000" w:rsidRPr="00000000" w14:paraId="000000F7">
      <w:pPr>
        <w:spacing w:after="200" w:line="276" w:lineRule="auto"/>
        <w:rPr>
          <w:rFonts w:ascii="Cambria" w:cs="Cambria" w:eastAsia="Cambria" w:hAnsi="Cambria"/>
          <w:i w:val="1"/>
          <w:iCs w:val="1"/>
          <w:sz w:val="20"/>
          <w:szCs w:val="20"/>
        </w:rPr>
      </w:pPr>
      <w:r w:rsidDel="00000000" w:rsidR="00000000" w:rsidRPr="00000000">
        <w:rPr>
          <w:rtl w:val="0"/>
        </w:rPr>
        <w:t xml:space="preserve">As we can see in Figure 4, customer churn is mainly influenced by tenure, total charges, contract type, and monthly spending.</w:t>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12.2 Retention Strategies</w:t>
      </w:r>
    </w:p>
    <w:p w:rsidR="00000000" w:rsidDel="00000000" w:rsidP="00000000" w:rsidRDefault="00000000" w:rsidRPr="00000000" w14:paraId="000000F9">
      <w:pPr>
        <w:spacing w:after="120" w:lineRule="auto"/>
        <w:rPr/>
      </w:pPr>
      <w:r w:rsidDel="00000000" w:rsidR="00000000" w:rsidRPr="00000000">
        <w:rPr>
          <w:rFonts w:ascii="Arial" w:cs="Arial" w:eastAsia="Arial" w:hAnsi="Arial"/>
          <w:sz w:val="22"/>
          <w:szCs w:val="22"/>
          <w:rtl w:val="0"/>
        </w:rPr>
        <w:t xml:space="preserve">Five concrete retention strategies were derived from the model’s feature importance analysis: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Upgrade Campaign: Offer 1–2 free months for switching from month-to-month to annual contracts. Expected to reduce churn by 50–60% for targeted customers.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Engagement Program: Dedicated onboarding for customers in their first 90 days. Expected to reduce first-year churn by 20–30%.</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High-Value Customer Protection: Loyalty discounts and priority support for high-spend, high-risk customers.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Bundle Promotion: Free trials of Tech Support and Online Security for customers without these services.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Method Migration: Incentivize electronic check users to switch to auto-pay methods.</w:t>
      </w: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12.3 Risk Scoring Output</w:t>
      </w:r>
    </w:p>
    <w:p w:rsidR="00000000" w:rsidDel="00000000" w:rsidP="00000000" w:rsidRDefault="00000000" w:rsidRPr="00000000" w14:paraId="00000100">
      <w:pPr>
        <w:spacing w:after="120" w:lineRule="auto"/>
        <w:rPr/>
      </w:pPr>
      <w:r w:rsidDel="00000000" w:rsidR="00000000" w:rsidRPr="00000000">
        <w:rPr>
          <w:rFonts w:ascii="Arial" w:cs="Arial" w:eastAsia="Arial" w:hAnsi="Arial"/>
          <w:sz w:val="22"/>
          <w:szCs w:val="22"/>
          <w:rtl w:val="0"/>
        </w:rPr>
        <w:t xml:space="preserve">The model generates per-customer churn probability scores (0–100%) and segments them into three tiers: High Risk (60–100%, 370 customers), Medium Risk (30–60%, 344 customers), and Low Risk (0–30%, 695 customers). This tiered approach allows the retention team to prioritize outreach efficiently.</w:t>
      </w: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13. Challenges &amp; Limitations</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Imbalance: The dataset has a 73.5/26.5 split. While class weighting was applied, more advanced techniques like SMOTE or ensemble-level balancing could further improve recall.</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Snapshot: The dataset represents a single quarter. A time-series or longitudinal approach would capture behavioral trends over time.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Limitations: Customer satisfaction scores, call center interaction logs, and network quality metrics were not available but would likely improve predictions.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Ceiling: The best F1-Score of ~0.64 suggests room for improvement. This is common in churn prediction where customer behavior has inherent unpredictability.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A/B Testing: The retention strategies are based on model insights but have not been validated through controlled experiments.</w:t>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14. Future Improvements</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Incorporate additional data sources: customer service call logs, NPS scores, network quality metrics, and competitor pricing data.</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 with deep learning approaches (e.g., neural networks, LSTM for sequential behavior patterns).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SMOTE or other advanced resampling techniques for class imbalance.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real-time prediction pipeline with automated monthly scoring and alerting.</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model explainability tools (SHAP, LIME) for per-customer prediction explanations.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A/B testing of retention strategies to validate ROI estimates.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model monitoring and drift detection for production deployment.</w:t>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15. Conclusion</w:t>
      </w:r>
    </w:p>
    <w:p w:rsidR="00000000" w:rsidDel="00000000" w:rsidP="00000000" w:rsidRDefault="00000000" w:rsidRPr="00000000" w14:paraId="00000111">
      <w:pPr>
        <w:spacing w:after="120" w:lineRule="auto"/>
        <w:rPr/>
      </w:pPr>
      <w:r w:rsidDel="00000000" w:rsidR="00000000" w:rsidRPr="00000000">
        <w:rPr>
          <w:rFonts w:ascii="Arial" w:cs="Arial" w:eastAsia="Arial" w:hAnsi="Arial"/>
          <w:sz w:val="22"/>
          <w:szCs w:val="22"/>
          <w:rtl w:val="0"/>
        </w:rPr>
        <w:t xml:space="preserve">This project successfully built an end-to-end machine learning pipeline for predicting customer churn in a telecommunications company. Starting from a raw dataset of 7,043 customers with 21 features, we performed thorough data cleaning, feature engineering, and encoding to produce a modelling-ready dataset of 34 features.</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Arial" w:cs="Arial" w:eastAsia="Arial" w:hAnsi="Arial"/>
          <w:sz w:val="22"/>
          <w:szCs w:val="22"/>
          <w:rtl w:val="0"/>
        </w:rPr>
        <w:t xml:space="preserve">Three models were trained, cross-validated, and hyperparameter-tuned. The Random Forest classifier emerged as the best model with an F1-Score of 0.6374, providing the optimal balance between correctly identifying churners and minimizing false positives.</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Arial" w:cs="Arial" w:eastAsia="Arial" w:hAnsi="Arial"/>
          <w:sz w:val="22"/>
          <w:szCs w:val="22"/>
          <w:rtl w:val="0"/>
        </w:rPr>
        <w:t xml:space="preserve">The analysis revealed five key churn drivers: month-to-month contracts, short customer tenure, lack of tech support/online security, electronic check payments, and high monthly charges without bundled services. These insights directly inform five actionable retention strategies that the business can implement immediately.</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Arial" w:cs="Arial" w:eastAsia="Arial" w:hAnsi="Arial"/>
          <w:sz w:val="22"/>
          <w:szCs w:val="22"/>
          <w:rtl w:val="0"/>
        </w:rPr>
        <w:t xml:space="preserve">A revenue impact analysis demonstrates that targeted retention campaigns — guided by the model’s per-customer risk scores — can yield significant annual savings. The model artefacts have been exported and are ready for production deployment via API or dashboard integration.</w:t>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16. References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IBM Telco Customer Churn Dataset — Kaggle: https://www.kaggle.com/datasets/blastchar/telco-customer-churn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Scikit-learn Documentation — https://scikit-learn.org/stable/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XGBoost Documentation — https://xgboost.readthedocs.io/</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Pandas Documentation — https://pandas.pydata.org/docs/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Reichheld, F. (1996). The Loyalty Effect: The Hidden Force Behind Growth, Profits, and Lasting Value. Harvard Business School Press.</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17. Appendix</w:t>
      </w:r>
    </w:p>
    <w:p w:rsidR="00000000" w:rsidDel="00000000" w:rsidP="00000000" w:rsidRDefault="00000000" w:rsidRPr="00000000" w14:paraId="0000011F">
      <w:pPr>
        <w:pStyle w:val="Heading2"/>
        <w:rPr/>
      </w:pPr>
      <w:r w:rsidDel="00000000" w:rsidR="00000000" w:rsidRPr="00000000">
        <w:rPr>
          <w:rtl w:val="0"/>
        </w:rPr>
        <w:t xml:space="preserve">A. Model Configuration Parameters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Random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Test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LR Max Iterations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RF n_estimators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RF max_depth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RF min_samples_leaf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XGB n_estimators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XGB learning_rate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XGB max_depth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Risk Low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Risk Medium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60%</w:t>
            </w:r>
            <w:r w:rsidDel="00000000" w:rsidR="00000000" w:rsidRPr="00000000">
              <w:rPr>
                <w:rtl w:val="0"/>
              </w:rPr>
            </w:r>
          </w:p>
        </w:tc>
      </w:tr>
    </w:tbl>
    <w:p w:rsidR="00000000" w:rsidDel="00000000" w:rsidP="00000000" w:rsidRDefault="00000000" w:rsidRPr="00000000" w14:paraId="00000138">
      <w:pPr>
        <w:spacing w:after="120" w:lineRule="auto"/>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B. Top 10 Feature Importances (Random Forest)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060"/>
        <w:gridCol w:w="3500"/>
        <w:tblGridChange w:id="0">
          <w:tblGrid>
            <w:gridCol w:w="800"/>
            <w:gridCol w:w="506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Importance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tenure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0.1419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TotalCharges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0.1171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Contract_Two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0.0879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MonthlyCharges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0.0808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AvgMonthlySpend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PaymentMethod_Electronic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~0.065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InternetService_Fiber optic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NumAddonServices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~0.046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IsNewCustomer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~0.046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Contract_One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~0.035</w:t>
            </w:r>
            <w:r w:rsidDel="00000000" w:rsidR="00000000" w:rsidRPr="00000000">
              <w:rPr>
                <w:rtl w:val="0"/>
              </w:rPr>
            </w:r>
          </w:p>
        </w:tc>
      </w:tr>
    </w:tbl>
    <w:p w:rsidR="00000000" w:rsidDel="00000000" w:rsidP="00000000" w:rsidRDefault="00000000" w:rsidRPr="00000000" w14:paraId="0000015B">
      <w:pPr>
        <w:spacing w:after="120" w:lineRule="auto"/>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C. Key Python Libraries Used</w:t>
      </w:r>
    </w:p>
    <w:p w:rsidR="00000000" w:rsidDel="00000000" w:rsidP="00000000" w:rsidRDefault="00000000" w:rsidRPr="00000000" w14:paraId="0000015D">
      <w:pPr>
        <w:spacing w:after="120" w:lineRule="auto"/>
        <w:rPr/>
      </w:pPr>
      <w:r w:rsidDel="00000000" w:rsidR="00000000" w:rsidRPr="00000000">
        <w:rPr>
          <w:rFonts w:ascii="Arial" w:cs="Arial" w:eastAsia="Arial" w:hAnsi="Arial"/>
          <w:sz w:val="22"/>
          <w:szCs w:val="22"/>
          <w:rtl w:val="0"/>
        </w:rPr>
        <w:t xml:space="preserve">pandas, numpy, matplotlib, seaborn, scikit-learn (LogisticRegression, RandomForestClassifier, GridSearchCV, StandardScaler, classification metrics), xgboost (XGBClassifier), joblib.</w:t>
      </w: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Fonts w:ascii="Arial" w:cs="Arial" w:eastAsia="Arial" w:hAnsi="Arial"/>
        <w:i w:val="1"/>
        <w:iCs w:val="1"/>
        <w:color w:val="888888"/>
        <w:sz w:val="18"/>
        <w:szCs w:val="18"/>
        <w:rtl w:val="0"/>
      </w:rPr>
      <w:t xml:space="preserve">Telco Customer Churn Prediction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hriniket.patil@gmail.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56Tzz7x5LkJpSk1Ssn6AsQFXQ==">CgMxLjAaJAoBMBIfCh0IB0IZCgVBcmlhbBIQQXJpYWwgVW5pY29kZSBNUxokCgExEh8KHQgHQhkKBUFyaWFsEhBBcmlhbCBVbmljb2RlIE1TGiQKATISHwodCAdCGQoFQXJpYWwSEEFyaWFsIFVuaWNvZGUgTVM4AHIhMVFubXlnbGo4NmNrN0RPR0hmSy03XzRLMktrYUpTOFJr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2026-03-01T14:47:46.434Z</dcterms:created>
  <dc:creator>Un-named</dc:creator>
</cp:coreProperties>
</file>

<file path=docProps/custom.xml><?xml version="1.0" encoding="utf-8"?>
<Properties xmlns="http://schemas.openxmlformats.org/officeDocument/2006/custom-properties" xmlns:vt="http://schemas.openxmlformats.org/officeDocument/2006/docPropsVTypes"/>
</file>