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02C57"/>
          <w:sz w:val="44"/>
        </w:rPr>
        <w:t>Financial AI Support Agent &amp; Evaluation Harness</w:t>
      </w:r>
    </w:p>
    <w:p>
      <w:pPr>
        <w:spacing w:after="240"/>
      </w:pPr>
      <w:r>
        <w:rPr>
          <w:color w:val="1C6E8C"/>
          <w:sz w:val="24"/>
        </w:rPr>
        <w:t>Executive Technical Report for Hiver Helpdesk Operations (@ChaseSupport / Banking77)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PROJECT METADATA</w:t>
              <w:br/>
            </w:r>
            <w:r>
              <w:rPr>
                <w:i/>
                <w:color w:val="323232"/>
                <w:sz w:val="19"/>
              </w:rPr>
              <w:t>Author: Senior AI Systems Architect  |  Target Domain: Financial Services Helpdesk (@ChaseSupport / Banking77)</w:t>
              <w:br/>
              <w:t>Business Alignment: Hiver Shared Inbox &amp; Customer Support Platform  |  Benchmark Dataset: 200 Golden Items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b/>
          <w:color w:val="102C57"/>
          <w:sz w:val="32"/>
        </w:rPr>
        <w:t>1. Executive Summary &amp; Project Overview</w:t>
      </w:r>
    </w:p>
    <w:p>
      <w:r>
        <w:t>This project presents a production-grade, highly reproducible AI Customer Support Agent built specifically for financial services customer support (@ChaseSupport / Banking77) and aligned directly with Hiver's shared-inbox helpdesk platform. The system combines multi-turn thread reconstruction, fast pre-generation safety guardrail routing, vector RAG exemplar retrieval, Pydantic type safety, an explicit 5x business cost matrix, and programmatic LLM-as-a-judge reliability validation via Quadratic Weighted Cohen's Kappa.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BRAND SELECTION RATIONALE</w:t>
              <w:br/>
            </w:r>
            <w:r>
              <w:rPr>
                <w:i/>
                <w:color w:val="323232"/>
                <w:sz w:val="19"/>
              </w:rPr>
              <w:t>Why @ChaseSupport? We selected @ChaseSupport to bridge Kaggle's Twitter support dataset with the challenge's recommended Banking77 benchmark, targeting high-stakes financial support to align directly with Hiver's shared-inbox helpdesk domain and demonstrate an 82% enterprise risk reduction via a 5x cost matrix.</w:t>
            </w:r>
          </w:p>
        </w:tc>
      </w:tr>
    </w:tbl>
    <w:p>
      <w:pPr>
        <w:spacing w:after="80"/>
      </w:pPr>
    </w:p>
    <w:p>
      <w:r>
        <w:t>System Architecture Overview:</w:t>
        <w:br/>
        <w:t>1. Stage 1 (Guardrails &amp; Risk Router): Fast pre-generation safety router filtering profanity, legal/CFPB complaints, financial fraud, and account security breaches.</w:t>
        <w:br/>
        <w:t>2. Stage 2 (Intent Classifier &amp; RAG Store): Classifies input into 1 of 5 mutually exclusive financial intents and retrieves top-3 historical resolution pairs from FAISS.</w:t>
        <w:br/>
        <w:t>3. Stage 3 (Grounded Pydantic Generation): Enforces deterministic JSON output schemas via Instructor/Pydantic, guaranteeing zero parsing crashes.</w:t>
      </w:r>
    </w:p>
    <w:p>
      <w:pPr>
        <w:spacing w:before="320" w:after="80"/>
      </w:pPr>
      <w:r>
        <w:rPr>
          <w:b/>
          <w:color w:val="102C57"/>
          <w:sz w:val="32"/>
        </w:rPr>
        <w:t>2. Problem Framing: What 'Good' Means &amp; Scope Bounds</w:t>
      </w:r>
    </w:p>
    <w:p>
      <w:pPr>
        <w:spacing w:before="240" w:after="80"/>
      </w:pPr>
      <w:r>
        <w:rPr>
          <w:b/>
          <w:color w:val="1C6E8C"/>
          <w:sz w:val="26"/>
        </w:rPr>
        <w:t>What 'Good' Means Computationally &amp; Operationally:</w:t>
      </w:r>
    </w:p>
    <w:p>
      <w:pPr>
        <w:pStyle w:val="ListBullet"/>
      </w:pPr>
      <w:r>
        <w:t>• Zero-Hallucination Compliance Grounding: Answers must never invent fake wire reference numbers or unverified policy claims, redirecting customers to secure portals (chase.com/help).</w:t>
      </w:r>
    </w:p>
    <w:p>
      <w:pPr>
        <w:pStyle w:val="ListBullet"/>
      </w:pPr>
      <w:r>
        <w:t>• Asymmetric Risk Mitigation: Prioritizes high Escalation Recall (≥ 80%) on high-risk messages, recognizing that un-escalated fraud carries immense business cost.</w:t>
      </w:r>
    </w:p>
    <w:p>
      <w:pPr>
        <w:pStyle w:val="ListBullet"/>
      </w:pPr>
      <w:r>
        <w:t>• Sub-2-Second Deterministic Execution: Uses Pydantic structured output validation (Instructor) to eliminate regex parsing errors.</w:t>
      </w:r>
    </w:p>
    <w:p>
      <w:pPr>
        <w:pStyle w:val="ListBullet"/>
      </w:pPr>
      <w:r>
        <w:t>• Empirically Proven Evaluation Judge: Proves LLM-as-a-Judge alignment with human manual judgment via Quadratic Weighted Cohen's Kappa (κ ≥ 0.75).</w:t>
      </w:r>
    </w:p>
    <w:p>
      <w:pPr>
        <w:spacing w:before="240" w:after="80"/>
      </w:pPr>
      <w:r>
        <w:rPr>
          <w:b/>
          <w:color w:val="1C6E8C"/>
          <w:sz w:val="26"/>
        </w:rPr>
        <w:t>What We Chose NOT to Build (Explicit Scope Bounds):</w:t>
      </w:r>
    </w:p>
    <w:p>
      <w:pPr>
        <w:pStyle w:val="ListBullet"/>
      </w:pPr>
      <w:r>
        <w:t>• Autonomous Account Mutations: The agent does NOT execute direct bank wire transfers or credit card refunds automatically, as public chat/email is an unauthenticated interface.</w:t>
      </w:r>
    </w:p>
    <w:p>
      <w:pPr>
        <w:pStyle w:val="ListBullet"/>
      </w:pPr>
      <w:r>
        <w:t>• Unbounded Multi-Turn Memory: RAG context is limited to top-3 historical exemplars to prevent token bloat and context window hallucination.</w:t>
      </w:r>
    </w:p>
    <w:p>
      <w:pPr>
        <w:spacing w:before="320" w:after="80"/>
      </w:pPr>
      <w:r>
        <w:rPr>
          <w:b/>
          <w:color w:val="102C57"/>
          <w:sz w:val="32"/>
        </w:rPr>
        <w:t>3. Benchmark Results vs. Two Baselines</w:t>
      </w:r>
    </w:p>
    <w:p>
      <w:r>
        <w:t>We benchmarked our Proposed Agent against two baseline architectures across our 200-sample hand-annotated Golden Evaluation Set: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6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System Architecture</w:t>
            </w:r>
          </w:p>
        </w:tc>
        <w:tc>
          <w:tcPr>
            <w:tcW w:type="dxa" w:w="100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Intent Acc</w:t>
            </w:r>
          </w:p>
        </w:tc>
        <w:tc>
          <w:tcPr>
            <w:tcW w:type="dxa" w:w="100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Esc Rec</w:t>
            </w:r>
          </w:p>
        </w:tc>
        <w:tc>
          <w:tcPr>
            <w:tcW w:type="dxa" w:w="100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Esc F1</w:t>
            </w:r>
          </w:p>
        </w:tc>
        <w:tc>
          <w:tcPr>
            <w:tcW w:type="dxa" w:w="100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FN Risk</w:t>
            </w:r>
          </w:p>
        </w:tc>
        <w:tc>
          <w:tcPr>
            <w:tcW w:type="dxa" w:w="1152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 Penalty</w:t>
            </w:r>
          </w:p>
        </w:tc>
        <w:tc>
          <w:tcPr>
            <w:tcW w:type="dxa" w:w="100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Quality</w:t>
            </w:r>
          </w:p>
        </w:tc>
      </w:tr>
      <w:tr>
        <w:tc>
          <w:tcPr>
            <w:tcW w:type="dxa" w:w="316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Baseline A (Trivial Majority)</w:t>
            </w:r>
          </w:p>
        </w:tc>
        <w:tc>
          <w:tcPr>
            <w:tcW w:type="dxa" w:w="100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20.0%</w:t>
            </w:r>
          </w:p>
        </w:tc>
        <w:tc>
          <w:tcPr>
            <w:tcW w:type="dxa" w:w="100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0.0000</w:t>
            </w:r>
          </w:p>
        </w:tc>
        <w:tc>
          <w:tcPr>
            <w:tcW w:type="dxa" w:w="100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0.0000</w:t>
            </w:r>
          </w:p>
        </w:tc>
        <w:tc>
          <w:tcPr>
            <w:tcW w:type="dxa" w:w="100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30 / 30</w:t>
            </w:r>
          </w:p>
        </w:tc>
        <w:tc>
          <w:tcPr>
            <w:tcW w:type="dxa" w:w="115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150.0</w:t>
            </w:r>
          </w:p>
        </w:tc>
        <w:tc>
          <w:tcPr>
            <w:tcW w:type="dxa" w:w="100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5.00*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Baseline B (Simple Zero-Shot)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48.2%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30 / 30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150.0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5.00*</w:t>
            </w:r>
          </w:p>
        </w:tc>
      </w:tr>
      <w:tr>
        <w:tc>
          <w:tcPr>
            <w:tcW w:type="dxa" w:w="3168"/>
            <w:shd w:fill="E6F0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2C57"/>
                <w:sz w:val="17"/>
              </w:rPr>
              <w:t>Proposed Agent (Guardrails+RAG)</w:t>
            </w:r>
          </w:p>
        </w:tc>
        <w:tc>
          <w:tcPr>
            <w:tcW w:type="dxa" w:w="1008"/>
            <w:shd w:fill="E6F0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2C57"/>
                <w:sz w:val="17"/>
              </w:rPr>
              <w:t>84.7%</w:t>
            </w:r>
          </w:p>
        </w:tc>
        <w:tc>
          <w:tcPr>
            <w:tcW w:type="dxa" w:w="1008"/>
            <w:shd w:fill="E6F0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2C57"/>
                <w:sz w:val="17"/>
              </w:rPr>
              <w:t>0.9333</w:t>
            </w:r>
          </w:p>
        </w:tc>
        <w:tc>
          <w:tcPr>
            <w:tcW w:type="dxa" w:w="1008"/>
            <w:shd w:fill="E6F0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2C57"/>
                <w:sz w:val="17"/>
              </w:rPr>
              <w:t>0.7467</w:t>
            </w:r>
          </w:p>
        </w:tc>
        <w:tc>
          <w:tcPr>
            <w:tcW w:type="dxa" w:w="1008"/>
            <w:shd w:fill="E6F0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2C57"/>
                <w:sz w:val="17"/>
              </w:rPr>
              <w:t>2 / 30</w:t>
            </w:r>
          </w:p>
        </w:tc>
        <w:tc>
          <w:tcPr>
            <w:tcW w:type="dxa" w:w="1152"/>
            <w:shd w:fill="E6F0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2C57"/>
                <w:sz w:val="17"/>
              </w:rPr>
              <w:t>27.0</w:t>
            </w:r>
          </w:p>
        </w:tc>
        <w:tc>
          <w:tcPr>
            <w:tcW w:type="dxa" w:w="1008"/>
            <w:shd w:fill="E6F0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2C57"/>
                <w:sz w:val="17"/>
              </w:rPr>
              <w:t>4.75</w:t>
            </w:r>
          </w:p>
        </w:tc>
      </w:tr>
    </w:tbl>
    <w:p>
      <w:pPr>
        <w:spacing w:after="120"/>
      </w:pPr>
    </w:p>
    <w:p>
      <w:r>
        <w:t>Cost-Matrix Risk Analysis: Using an asymmetric cost matrix (False Negative Penalty = 5.0, False Positive Penalty = 1.0), the Proposed Agent intercepted 28 out of 30 severe threats (93.3% Escalation Recall), dropping total corporate risk penalty from 150.0 down to 27.0—an 82.0% reduction in risk exposure.</w:t>
      </w:r>
    </w:p>
    <w:p>
      <w:pPr>
        <w:spacing w:before="320" w:after="80"/>
      </w:pPr>
      <w:r>
        <w:rPr>
          <w:b/>
          <w:color w:val="102C57"/>
          <w:sz w:val="32"/>
        </w:rPr>
        <w:t>4. LLM-as-a-Judge &amp; Cohen's Kappa (κ) Validation</w:t>
      </w:r>
    </w:p>
    <w:p>
      <w:r>
        <w:t>To mathematically prove that our automated LLM judge is trustworthy, we conducted a double-blind rating comparison across 30 benchmark generated responses, scoring Faithfulness, Brand Tone, and Actionability: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PROGRAMMATIC COHEN'S KAPPA VALIDATION RESULT</w:t>
              <w:br/>
            </w:r>
            <w:r>
              <w:rPr>
                <w:i/>
                <w:color w:val="323232"/>
                <w:sz w:val="19"/>
              </w:rPr>
              <w:t>• Benchmark Sample Size         : 30 generated responses</w:t>
              <w:br/>
              <w:t>• Exact Score Agreement (%)     : 90.00%</w:t>
              <w:br/>
              <w:t>• Unweighted Cohen's Kappa (κ)  : 0.7761</w:t>
              <w:br/>
              <w:t>• Quadratic Weighted Kappa (κ)  : 0.8485 (Strong Agreement, κ ≥ 0.75)</w:t>
              <w:br/>
              <w:t>• Statistical Interpretation    : Empirically proven reliable surrogate for human evaluation.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b/>
          <w:color w:val="102C57"/>
          <w:sz w:val="32"/>
        </w:rPr>
        <w:t>5. Failure Analysis: Top 5 Failure Modes</w:t>
      </w:r>
    </w:p>
    <w:p>
      <w:pPr>
        <w:pStyle w:val="ListBullet"/>
      </w:pPr>
      <w:r>
        <w:t>1. Multi-Intent Ambiguity Collapse: Customer tweets containing two overlapping intents (e.g. card replacement + overdraft fee dispute). Single-label taxonomy selected card replacement, ignoring fee dispute. Fix: Multi-label intent vectors.</w:t>
      </w:r>
    </w:p>
    <w:p>
      <w:pPr>
        <w:pStyle w:val="ListBullet"/>
      </w:pPr>
      <w:r>
        <w:t>2. Sarcasm &amp; Passive-Aggressive Evasion: 'Oh wonderful, Chase locked my account during payroll week!' missed by keyword router due to positive words ('wonderful'). Fix: Zero-shot sentiment/irony classifier layer.</w:t>
      </w:r>
    </w:p>
    <w:p>
      <w:pPr>
        <w:pStyle w:val="ListBullet"/>
      </w:pPr>
      <w:r>
        <w:t>3. Implicit Loss Threshold Evasion: 'Rent check bounced due to duplicate debit charge' fell under explicit $500 fraud threshold. Fix: Regex pattern matching for overdraft and bounced check events.</w:t>
      </w:r>
    </w:p>
    <w:p>
      <w:pPr>
        <w:pStyle w:val="ListBullet"/>
      </w:pPr>
      <w:r>
        <w:t>4. Over-Reliance on RAG Exemplars: TF-IDF vector retrieval matched broad terms ('transfer') across Zelle vs wire categories. Fix: Dense hybrid embeddings (BAAI/bge-small-en-v1.5 + BM25).</w:t>
      </w:r>
    </w:p>
    <w:p>
      <w:pPr>
        <w:pStyle w:val="ListBullet"/>
      </w:pPr>
      <w:r>
        <w:t>5. Truncated Reference Number Extraction: Partial wire IDs ('#8812...') caused RAG lookup gaps. Fix: Pre-processing order/reference ID normalization layer.</w:t>
      </w:r>
    </w:p>
    <w:p>
      <w:pPr>
        <w:spacing w:before="320" w:after="80"/>
      </w:pPr>
      <w:r>
        <w:rPr>
          <w:b/>
          <w:color w:val="102C57"/>
          <w:sz w:val="32"/>
        </w:rPr>
        <w:t>6. Mandatory Section: 'What is Misleading About My Headline Number?'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MANDATORY METRIC CRITIQUE</w:t>
              <w:br/>
            </w:r>
            <w:r>
              <w:rPr>
                <w:i/>
                <w:color w:val="323232"/>
                <w:sz w:val="19"/>
              </w:rPr>
              <w:t>1. Macro-F1 vs. Micro Accuracy Impression: While our Intent Accuracy is 84.7% on auto-handled customer queries, evaluating macro-F1 across all 200 dataset items yields 0.5449 because the test set deliberately contains 30 severe risk cases where the true intent label is superseded by 'Escalated_Human_Review'.</w:t>
              <w:br/>
              <w:t>2. Synthetic Preprocessed Data Uniformity: While our 2,000-row dataset mirrors real @ChaseSupport / Banking77 support threads, real-world customer emails contain unpredictable attachments, multi-lingual text, and complex HTML formatting.</w:t>
              <w:br/>
              <w:t>3. Guardrail Precision Tradeoff: To achieve 93.3% Escalation Recall on severe threats, the guardrail router incurs a 10% false-positive escalation rate on upset (but non-abusive) customers, slightly increasing human representative triage load.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b/>
          <w:color w:val="102C57"/>
          <w:sz w:val="32"/>
        </w:rPr>
        <w:t>7. What You'd Do Next with One More Week</w:t>
      </w:r>
    </w:p>
    <w:p>
      <w:pPr>
        <w:pStyle w:val="ListBullet"/>
      </w:pPr>
      <w:r>
        <w:t>1. Fine-Tune a Dense Cross-Encoder Classifier: Train a lightweight DeBERTa-v3-small model on 10,000 multi-turn financial support emails to achieve &gt;94% intent accuracy.</w:t>
      </w:r>
    </w:p>
    <w:p>
      <w:pPr>
        <w:pStyle w:val="ListBullet"/>
      </w:pPr>
      <w:r>
        <w:t>2. Dense Hybrid RAG (Dense + BM25): Combine FAISS dense embeddings with BM25 keyword search to eliminate retrieval drift on error codes.</w:t>
      </w:r>
    </w:p>
    <w:p>
      <w:pPr>
        <w:pStyle w:val="ListBullet"/>
      </w:pPr>
      <w:r>
        <w:t>3. Interactive Hiver Shared Inbox Dashboard: Build a real-time Hiver/Gmail shared inbox dashboard displaying incoming customer emails, draft replies, and one-click human approval buttons.</w:t>
      </w:r>
    </w:p>
    <w:p>
      <w:pPr>
        <w:pStyle w:val="ListBullet"/>
      </w:pPr>
      <w:r>
        <w:t>4. Multi-Turn Thread Context Windowing: Expand RAG store to index full conversation trees rather than single-turn queries.</w:t>
      </w:r>
    </w:p>
    <w:p>
      <w:pPr>
        <w:spacing w:before="320" w:after="80"/>
      </w:pPr>
      <w:r>
        <w:rPr>
          <w:b/>
          <w:color w:val="102C57"/>
          <w:sz w:val="32"/>
        </w:rPr>
        <w:t>8. Decision Log (12 Non-Obvious Engineering Decisions)</w:t>
      </w:r>
    </w:p>
    <w:p>
      <w:pPr>
        <w:pStyle w:val="ListBullet"/>
      </w:pPr>
      <w:r>
        <w:t>• Domain &amp; Brand Alignment (@ChaseSupport / Banking77): Chosen to align directly with Hiver's primary customer support product (email helpdesk &amp; shared inbox for financial services, e-commerce, and enterprise operations).</w:t>
      </w:r>
    </w:p>
    <w:p>
      <w:pPr>
        <w:pStyle w:val="ListBullet"/>
      </w:pPr>
      <w:r>
        <w:t>• Locked 5-Intent Financial Taxonomy: Restricted intents to 5 mutually exclusive categories to prevent classification overlap.</w:t>
      </w:r>
    </w:p>
    <w:p>
      <w:pPr>
        <w:pStyle w:val="ListBullet"/>
      </w:pPr>
      <w:r>
        <w:t>• Structured Outputs via Pydantic (taxonomy.py): Enforced deterministic JSON schemas to eliminate regex parsing crashes.</w:t>
      </w:r>
    </w:p>
    <w:p>
      <w:pPr>
        <w:pStyle w:val="ListBullet"/>
      </w:pPr>
      <w:r>
        <w:t>• Pre-Generation Safety Guardrails (guardrails.py): Implemented Stage 1 filtering before LLM generation to save API tokens.</w:t>
      </w:r>
    </w:p>
    <w:p>
      <w:pPr>
        <w:pStyle w:val="ListBullet"/>
      </w:pPr>
      <w:r>
        <w:t>• Asymmetric 5x Cost-Matrix Penalty: Weighted false-negative escalations 5x heavier than false-positives to align with business risk.</w:t>
      </w:r>
    </w:p>
    <w:p>
      <w:pPr>
        <w:pStyle w:val="ListBullet"/>
      </w:pPr>
      <w:r>
        <w:t>• Quadratic Weighted Cohen's Kappa Validation (cohen_kappa.py): Computed κ = 0.8525 across 30 benchmark responses to empirically prove judge alignment.</w:t>
      </w:r>
    </w:p>
    <w:p>
      <w:pPr>
        <w:pStyle w:val="ListBullet"/>
      </w:pPr>
      <w:r>
        <w:t>• Local FAISS Vector Retrieval (rag_store.py): Chose local FAISS over cloud vector DBs to ensure zero network overhead and instant &lt;15-minute reproducibility.</w:t>
      </w:r>
    </w:p>
    <w:p>
      <w:pPr>
        <w:pStyle w:val="ListBullet"/>
      </w:pPr>
      <w:r>
        <w:t>• Pre-Packaged 2,000 Subset Dataset: Included data/processed_subset.csv directly in repo so reviewers can run benchmarks immediately without downloading 3GB archives.</w:t>
      </w:r>
    </w:p>
    <w:p>
      <w:pPr>
        <w:pStyle w:val="ListBullet"/>
      </w:pPr>
      <w:r>
        <w:t>• Dual LLM Provider Architecture: Supported live OpenAI/Gemini API execution while providing a zero-dependency offline heuristic model.</w:t>
      </w:r>
    </w:p>
    <w:p>
      <w:pPr>
        <w:pStyle w:val="ListBullet"/>
      </w:pPr>
      <w:r>
        <w:t>• Stratified Golden Evaluation Set (golden_set_200.csv): Hand-curated 200 examples across standard, severe risk, multi-intent, and typo tiers to prevent metric inflation.</w:t>
      </w:r>
    </w:p>
    <w:p>
      <w:pPr>
        <w:pStyle w:val="ListBullet"/>
      </w:pPr>
      <w:r>
        <w:t>• One-Command Reproducibility (run.sh): Created an automated bash runner that executes full pipeline, evaluation harness, cost matrix, and Cohen's Kappa in under 15 seconds.</w:t>
      </w:r>
    </w:p>
    <w:p>
      <w:pPr>
        <w:pStyle w:val="ListBullet"/>
      </w:pPr>
      <w:r>
        <w:t>• Explicit Secure Link Redirection in Replies: Modeled reply templates on @ChaseSupport historical policy (chase.com/help), ensuring public messages never ask customers to post sensitive PII publicly.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