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00C7" w14:textId="2A0E1EAB" w:rsidR="004C2FD6" w:rsidRPr="004C2FD6" w:rsidRDefault="004C2FD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52"/>
          <w:szCs w:val="52"/>
        </w:rPr>
      </w:pPr>
      <w:r w:rsidRPr="004C2FD6">
        <w:rPr>
          <w:rFonts w:ascii="Times New Roman" w:hAnsi="Times New Roman" w:cs="Times New Roman"/>
          <w:b w:val="0"/>
          <w:bCs w:val="0"/>
          <w:color w:val="000000" w:themeColor="text1"/>
          <w:sz w:val="52"/>
          <w:szCs w:val="52"/>
        </w:rPr>
        <w:t>Business Interpretation Report – Employee Attrition</w:t>
      </w:r>
    </w:p>
    <w:p w14:paraId="5E9B12B7" w14:textId="633EE744" w:rsidR="00021C18" w:rsidRPr="004C2FD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1. Executive summary</w:t>
      </w:r>
    </w:p>
    <w:p w14:paraId="7E29E080" w14:textId="1A555B18" w:rsidR="00021C18" w:rsidRPr="004C2FD6" w:rsidRDefault="00000000">
      <w:pPr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About 16% of employees leave. Our best model can rank employees by leaving risk with ROC-AUC 0.81, and identifies about 68% of actual leavers in the test set, with 38% of the people it flags truly leaving. This is a useful screening tool to prioritise retention conversations, not a decision-maker about any individual.</w:t>
      </w:r>
    </w:p>
    <w:p w14:paraId="27968F87" w14:textId="77777777" w:rsidR="00021C18" w:rsidRPr="004C2FD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2. What drives attrition</w:t>
      </w:r>
    </w:p>
    <w:p w14:paraId="560CFFCA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Overtime: employees who work overtime have markedly higher leaving risk – the single clearest controllable factor.</w:t>
      </w:r>
    </w:p>
    <w:p w14:paraId="4BBDC8BD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Pay and experience: lower monthly income, younger age and shorter total experience are linked with leaving.</w:t>
      </w:r>
    </w:p>
    <w:p w14:paraId="4ACAEB21" w14:textId="57945BF1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Frequent business travel and some roles show higher risk.</w:t>
      </w:r>
    </w:p>
    <w:p w14:paraId="65AB1D1D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Long gaps since the last promotion and single marital status also increase risk.</w:t>
      </w:r>
    </w:p>
    <w:p w14:paraId="7088D05A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Stock option level: employees with no stock options are more likely to leave.</w:t>
      </w:r>
    </w:p>
    <w:p w14:paraId="4BADFF56" w14:textId="77777777" w:rsidR="00021C18" w:rsidRPr="004C2FD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3. Recommended actions</w:t>
      </w:r>
    </w:p>
    <w:p w14:paraId="6D295CC8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Review overtime workloads in high-risk teams; add hiring or workload-balancing where overtime is routine.</w:t>
      </w:r>
    </w:p>
    <w:p w14:paraId="66D95CFD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Benchmark pay for junior staff and high-risk roles; consider retention bonuses or stock options for early-career employees.</w:t>
      </w:r>
    </w:p>
    <w:p w14:paraId="3BD14B53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Create clear promotion timelines – flag anyone waiting more than 3–4 years for a promotion.</w:t>
      </w:r>
    </w:p>
    <w:p w14:paraId="67437AD4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Offer travel flexibility or rotation for frequent travellers.</w:t>
      </w:r>
    </w:p>
    <w:p w14:paraId="22CC0264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Run stay-interviews with the top 10% highest-risk employees each quarter.</w:t>
      </w:r>
    </w:p>
    <w:p w14:paraId="078474F9" w14:textId="77777777" w:rsidR="00021C18" w:rsidRPr="004C2FD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4. How to use the model responsibly</w:t>
      </w:r>
    </w:p>
    <w:p w14:paraId="7F88223C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Use risk scores to start supportive conversations, never for punishment or dismissal.</w:t>
      </w:r>
    </w:p>
    <w:p w14:paraId="24965754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Review monthly; retrain at least every 6–12 months as the workforce changes.</w:t>
      </w:r>
    </w:p>
    <w:p w14:paraId="36A0EAFD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Check fairness across gender, age and marital status before any deployment; do not use protected attributes to make decisions.</w:t>
      </w:r>
    </w:p>
    <w:p w14:paraId="5663AB99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Expect false alarms: roughly half the flagged employees will not leave, so interventions should be low-cost and positive.</w:t>
      </w:r>
    </w:p>
    <w:p w14:paraId="48BAF58E" w14:textId="77777777" w:rsidR="00021C18" w:rsidRPr="004C2FD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lastRenderedPageBreak/>
        <w:t>5. Cost–benefit view</w:t>
      </w:r>
    </w:p>
    <w:p w14:paraId="476B34C8" w14:textId="73B23409" w:rsidR="00021C18" w:rsidRPr="004C2FD6" w:rsidRDefault="00000000">
      <w:pPr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 xml:space="preserve">If replacing an employee costs roughly 50–150% of annual salary, retaining even a few extra high-risk employees per year can pay for the program. Because precision is moderate, keep interventions cheap (conversation, workload review) before costly ones </w:t>
      </w:r>
      <w:r w:rsidR="00C9605F">
        <w:rPr>
          <w:rFonts w:ascii="Times New Roman" w:hAnsi="Times New Roman" w:cs="Times New Roman"/>
          <w:color w:val="000000" w:themeColor="text1"/>
        </w:rPr>
        <w:t>.</w:t>
      </w:r>
    </w:p>
    <w:p w14:paraId="76D4C195" w14:textId="77777777" w:rsidR="00021C18" w:rsidRPr="004C2FD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6. Regression insight</w:t>
      </w:r>
    </w:p>
    <w:p w14:paraId="5B1364AB" w14:textId="42AF2A27" w:rsidR="00021C18" w:rsidRPr="004C2FD6" w:rsidRDefault="00000000">
      <w:pPr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 xml:space="preserve">We could not predict job satisfaction from existing HR data </w:t>
      </w:r>
      <w:r w:rsidR="00C9605F">
        <w:rPr>
          <w:rFonts w:ascii="Times New Roman" w:hAnsi="Times New Roman" w:cs="Times New Roman"/>
          <w:color w:val="000000" w:themeColor="text1"/>
        </w:rPr>
        <w:t>.</w:t>
      </w:r>
      <w:r w:rsidRPr="004C2FD6">
        <w:rPr>
          <w:rFonts w:ascii="Times New Roman" w:hAnsi="Times New Roman" w:cs="Times New Roman"/>
          <w:color w:val="000000" w:themeColor="text1"/>
        </w:rPr>
        <w:t>HR should not rely on proxies for satisfaction; run regular pulse surveys instead and feed the scores into the attrition model.</w:t>
      </w:r>
    </w:p>
    <w:p w14:paraId="1209D18F" w14:textId="77777777" w:rsidR="00021C18" w:rsidRPr="004C2FD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7. Next steps</w:t>
      </w:r>
    </w:p>
    <w:p w14:paraId="1DB921D5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Collect exit-interview data and engagement-survey comments to explain the "why".</w:t>
      </w:r>
    </w:p>
    <w:p w14:paraId="6253BBC6" w14:textId="77777777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Pilot retention actions with a control group to measure real impact.</w:t>
      </w:r>
    </w:p>
    <w:p w14:paraId="41577B23" w14:textId="64C9FF4F" w:rsidR="00021C18" w:rsidRPr="004C2FD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C2FD6">
        <w:rPr>
          <w:rFonts w:ascii="Times New Roman" w:hAnsi="Times New Roman" w:cs="Times New Roman"/>
          <w:color w:val="000000" w:themeColor="text1"/>
        </w:rPr>
        <w:t>Add time-based data  to improve predictions.</w:t>
      </w:r>
    </w:p>
    <w:sectPr w:rsidR="00021C18" w:rsidRPr="004C2FD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675252">
    <w:abstractNumId w:val="8"/>
  </w:num>
  <w:num w:numId="2" w16cid:durableId="1791822964">
    <w:abstractNumId w:val="6"/>
  </w:num>
  <w:num w:numId="3" w16cid:durableId="1193108662">
    <w:abstractNumId w:val="5"/>
  </w:num>
  <w:num w:numId="4" w16cid:durableId="1983390395">
    <w:abstractNumId w:val="4"/>
  </w:num>
  <w:num w:numId="5" w16cid:durableId="615528482">
    <w:abstractNumId w:val="7"/>
  </w:num>
  <w:num w:numId="6" w16cid:durableId="1982881294">
    <w:abstractNumId w:val="3"/>
  </w:num>
  <w:num w:numId="7" w16cid:durableId="1887183620">
    <w:abstractNumId w:val="2"/>
  </w:num>
  <w:num w:numId="8" w16cid:durableId="142504497">
    <w:abstractNumId w:val="1"/>
  </w:num>
  <w:num w:numId="9" w16cid:durableId="39782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C18"/>
    <w:rsid w:val="00034616"/>
    <w:rsid w:val="0006063C"/>
    <w:rsid w:val="0015074B"/>
    <w:rsid w:val="0029639D"/>
    <w:rsid w:val="00326F90"/>
    <w:rsid w:val="004C2FD6"/>
    <w:rsid w:val="00AA1D8D"/>
    <w:rsid w:val="00B47730"/>
    <w:rsid w:val="00C9605F"/>
    <w:rsid w:val="00CB0664"/>
    <w:rsid w:val="00F30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A639E"/>
  <w14:defaultImageDpi w14:val="300"/>
  <w15:docId w15:val="{4463CD63-6968-4792-9CCC-8E75AA05F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2026-10-15T08:30:00Z</dcterms:created>
  <dcterms:modified xsi:type="dcterms:W3CDTF">2026-10-15T08:32:00Z</dcterms:modified>
  <cp:category/>
</cp:coreProperties>
</file>