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AE922" w14:textId="77777777" w:rsidR="004013F8" w:rsidRDefault="00000000">
      <w:pPr>
        <w:spacing w:before="1200" w:after="120"/>
        <w:jc w:val="center"/>
      </w:pPr>
      <w:r>
        <w:rPr>
          <w:b/>
          <w:bCs/>
          <w:sz w:val="36"/>
          <w:szCs w:val="36"/>
        </w:rPr>
        <w:t>Employee Workforce Segmentation</w:t>
      </w:r>
    </w:p>
    <w:p w14:paraId="115E989E" w14:textId="77777777" w:rsidR="004013F8" w:rsidRDefault="00000000">
      <w:pPr>
        <w:spacing w:after="80"/>
        <w:jc w:val="center"/>
      </w:pPr>
      <w:r>
        <w:rPr>
          <w:b/>
          <w:bCs/>
          <w:sz w:val="30"/>
          <w:szCs w:val="30"/>
        </w:rPr>
        <w:t>PCA Summary</w:t>
      </w:r>
    </w:p>
    <w:p w14:paraId="40814B45" w14:textId="77777777" w:rsidR="004013F8" w:rsidRDefault="00000000">
      <w:pPr>
        <w:pStyle w:val="Heading1"/>
        <w:keepNext/>
        <w:spacing w:before="260" w:after="120"/>
      </w:pPr>
      <w:r>
        <w:rPr>
          <w:b/>
          <w:bCs/>
          <w:color w:val="000000"/>
          <w:sz w:val="28"/>
          <w:szCs w:val="28"/>
        </w:rPr>
        <w:t>1. Why we used PCA</w:t>
      </w:r>
    </w:p>
    <w:p w14:paraId="3B316B69" w14:textId="77777777" w:rsidR="004013F8" w:rsidRDefault="00000000">
      <w:pPr>
        <w:spacing w:after="120" w:line="300" w:lineRule="auto"/>
        <w:jc w:val="both"/>
      </w:pPr>
      <w:r>
        <w:t>We used 20 numeric features to describe each employee, for example age, income, job level, years at company and overtime. Many of these features are related to each other. For example, employees with more total working years usually have a higher job level and a higher income. PCA (Principal Component Analysis) reduces such related features into fewer new features called components, and it keeps most of the information. We also used PCA to plot the employee groups in two dimensions.</w:t>
      </w:r>
    </w:p>
    <w:p w14:paraId="71F270B6" w14:textId="77777777" w:rsidR="004013F8" w:rsidRDefault="00000000">
      <w:pPr>
        <w:pStyle w:val="Heading1"/>
        <w:keepNext/>
        <w:spacing w:before="260" w:after="120"/>
      </w:pPr>
      <w:r>
        <w:rPr>
          <w:b/>
          <w:bCs/>
          <w:color w:val="000000"/>
          <w:sz w:val="28"/>
          <w:szCs w:val="28"/>
        </w:rPr>
        <w:t>2. What we did</w:t>
      </w:r>
    </w:p>
    <w:p w14:paraId="7CDAE096" w14:textId="77777777" w:rsidR="004013F8" w:rsidRDefault="00000000">
      <w:pPr>
        <w:pStyle w:val="ListParagraph"/>
        <w:numPr>
          <w:ilvl w:val="0"/>
          <w:numId w:val="2"/>
        </w:numPr>
        <w:spacing w:after="60" w:line="290" w:lineRule="auto"/>
      </w:pPr>
      <w:r>
        <w:t>We selected 20 numeric features (Attrition, Department and Performance were not used).</w:t>
      </w:r>
    </w:p>
    <w:p w14:paraId="73E6DF0A" w14:textId="77777777" w:rsidR="004013F8" w:rsidRDefault="00000000">
      <w:pPr>
        <w:pStyle w:val="ListParagraph"/>
        <w:numPr>
          <w:ilvl w:val="0"/>
          <w:numId w:val="2"/>
        </w:numPr>
        <w:spacing w:after="60" w:line="290" w:lineRule="auto"/>
      </w:pPr>
      <w:r>
        <w:t xml:space="preserve">We scaled all features with </w:t>
      </w:r>
      <w:proofErr w:type="spellStart"/>
      <w:r>
        <w:t>StandardScaler</w:t>
      </w:r>
      <w:proofErr w:type="spellEnd"/>
      <w:r>
        <w:t>, so that features with large values like income do not dominate.</w:t>
      </w:r>
    </w:p>
    <w:p w14:paraId="7B0768E8" w14:textId="77777777" w:rsidR="004013F8" w:rsidRDefault="00000000">
      <w:pPr>
        <w:pStyle w:val="ListParagraph"/>
        <w:numPr>
          <w:ilvl w:val="0"/>
          <w:numId w:val="2"/>
        </w:numPr>
        <w:spacing w:after="60" w:line="290" w:lineRule="auto"/>
      </w:pPr>
      <w:r>
        <w:t>We applied PCA and checked the variance explained by each component with a scree plot and a cumulative variance plot.</w:t>
      </w:r>
    </w:p>
    <w:p w14:paraId="66508A3C" w14:textId="77777777" w:rsidR="004013F8" w:rsidRDefault="00000000">
      <w:pPr>
        <w:pStyle w:val="ListParagraph"/>
        <w:numPr>
          <w:ilvl w:val="0"/>
          <w:numId w:val="2"/>
        </w:numPr>
        <w:spacing w:after="60" w:line="290" w:lineRule="auto"/>
      </w:pPr>
      <w:r>
        <w:t>We kept the number of components needed to explain at least 80% of the variance.</w:t>
      </w:r>
    </w:p>
    <w:p w14:paraId="3AD406AD" w14:textId="77777777" w:rsidR="004013F8" w:rsidRDefault="00000000">
      <w:pPr>
        <w:pStyle w:val="ListParagraph"/>
        <w:numPr>
          <w:ilvl w:val="0"/>
          <w:numId w:val="2"/>
        </w:numPr>
        <w:spacing w:after="60" w:line="290" w:lineRule="auto"/>
      </w:pPr>
      <w:r>
        <w:t>We used these components for K-Means and Hierarchical clustering and for the plots.</w:t>
      </w:r>
    </w:p>
    <w:p w14:paraId="7310DD62" w14:textId="77777777" w:rsidR="004013F8" w:rsidRDefault="00000000">
      <w:pPr>
        <w:pStyle w:val="Heading1"/>
        <w:keepNext/>
        <w:spacing w:before="260" w:after="120"/>
      </w:pPr>
      <w:r>
        <w:rPr>
          <w:b/>
          <w:bCs/>
          <w:color w:val="000000"/>
          <w:sz w:val="28"/>
          <w:szCs w:val="28"/>
        </w:rPr>
        <w:t>3. How many components we kept</w:t>
      </w:r>
    </w:p>
    <w:p w14:paraId="6909DDD4" w14:textId="77777777" w:rsidR="004013F8" w:rsidRDefault="00000000">
      <w:pPr>
        <w:spacing w:after="120" w:line="300" w:lineRule="auto"/>
        <w:jc w:val="both"/>
      </w:pPr>
      <w:r>
        <w:t xml:space="preserve">Twelve components are needed to explain at least 80% of the variance, and 14 are needed for 90%. We kept </w:t>
      </w:r>
      <w:r>
        <w:rPr>
          <w:b/>
          <w:bCs/>
        </w:rPr>
        <w:t>12 components</w:t>
      </w:r>
      <w:r>
        <w:t xml:space="preserve">, which explain </w:t>
      </w:r>
      <w:r>
        <w:rPr>
          <w:b/>
          <w:bCs/>
        </w:rPr>
        <w:t>83.2%</w:t>
      </w:r>
      <w:r>
        <w:t xml:space="preserve"> of the variance. </w:t>
      </w:r>
      <w:proofErr w:type="gramStart"/>
      <w:r>
        <w:t>So</w:t>
      </w:r>
      <w:proofErr w:type="gramEnd"/>
      <w:r>
        <w:t xml:space="preserve"> the 20 original features were reduced to 12, and less than 17% of the information was lost.</w:t>
      </w:r>
    </w:p>
    <w:p w14:paraId="3A8FF724" w14:textId="77777777" w:rsidR="004013F8" w:rsidRDefault="00000000">
      <w:pPr>
        <w:spacing w:before="120"/>
        <w:jc w:val="center"/>
      </w:pPr>
      <w:r>
        <w:rPr>
          <w:noProof/>
        </w:rPr>
        <w:drawing>
          <wp:inline distT="0" distB="0" distL="0" distR="0" wp14:anchorId="50467839" wp14:editId="3A7EFC06">
            <wp:extent cx="5667375" cy="1743075"/>
            <wp:effectExtent l="0" t="0" r="0" b="0"/>
            <wp:docPr id="1" name="Figure 1: Scree plot and cumulative explained variance" descr="Figure 1: Scree plot and cumulative explained variance" title="Figure 1: Scree plot and cumulative explained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1743075"/>
                    </a:xfrm>
                    <a:prstGeom prst="rect">
                      <a:avLst/>
                    </a:prstGeom>
                  </pic:spPr>
                </pic:pic>
              </a:graphicData>
            </a:graphic>
          </wp:inline>
        </w:drawing>
      </w:r>
    </w:p>
    <w:p w14:paraId="4008F3D9" w14:textId="77777777" w:rsidR="004013F8" w:rsidRDefault="00000000">
      <w:pPr>
        <w:spacing w:before="60" w:after="200"/>
        <w:jc w:val="center"/>
      </w:pPr>
      <w:r>
        <w:rPr>
          <w:i/>
          <w:iCs/>
          <w:sz w:val="21"/>
          <w:szCs w:val="21"/>
        </w:rPr>
        <w:t>Figure 1: Scree plot and cumulative explained variance</w:t>
      </w:r>
    </w:p>
    <w:p w14:paraId="327FA885" w14:textId="77777777" w:rsidR="004013F8" w:rsidRDefault="00000000">
      <w:pPr>
        <w:pStyle w:val="Heading1"/>
        <w:keepNext/>
        <w:spacing w:before="260" w:after="120"/>
      </w:pPr>
      <w:r>
        <w:rPr>
          <w:b/>
          <w:bCs/>
          <w:color w:val="000000"/>
          <w:sz w:val="28"/>
          <w:szCs w:val="28"/>
        </w:rPr>
        <w:lastRenderedPageBreak/>
        <w:t>4. What the first three components mean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100"/>
        <w:gridCol w:w="6626"/>
      </w:tblGrid>
      <w:tr w:rsidR="004013F8" w14:paraId="5D92BC24" w14:textId="77777777" w:rsidTr="000D339F">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6670C43D" w14:textId="77777777" w:rsidR="004013F8" w:rsidRDefault="00000000">
            <w:r>
              <w:rPr>
                <w:b/>
                <w:bCs/>
                <w:sz w:val="20"/>
                <w:szCs w:val="20"/>
              </w:rPr>
              <w:t>Component</w:t>
            </w:r>
          </w:p>
        </w:tc>
        <w:tc>
          <w:tcPr>
            <w:tcW w:w="110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0F2554C5" w14:textId="77777777" w:rsidR="004013F8" w:rsidRDefault="00000000">
            <w:pPr>
              <w:jc w:val="center"/>
            </w:pPr>
            <w:r>
              <w:rPr>
                <w:b/>
                <w:bCs/>
                <w:sz w:val="20"/>
                <w:szCs w:val="20"/>
              </w:rPr>
              <w:t>Variance</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50" w:type="dxa"/>
              <w:left w:w="80" w:type="dxa"/>
              <w:bottom w:w="50" w:type="dxa"/>
              <w:right w:w="80" w:type="dxa"/>
            </w:tcMar>
          </w:tcPr>
          <w:p w14:paraId="2631BFAB" w14:textId="77777777" w:rsidR="004013F8" w:rsidRDefault="00000000">
            <w:pPr>
              <w:jc w:val="center"/>
            </w:pPr>
            <w:r>
              <w:rPr>
                <w:b/>
                <w:bCs/>
                <w:sz w:val="20"/>
                <w:szCs w:val="20"/>
              </w:rPr>
              <w:t>Features with the highest loadings</w:t>
            </w:r>
          </w:p>
        </w:tc>
      </w:tr>
      <w:tr w:rsidR="004013F8" w14:paraId="6EB131E9"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4893AF" w14:textId="77777777" w:rsidR="004013F8" w:rsidRDefault="00000000">
            <w:r>
              <w:rPr>
                <w:sz w:val="20"/>
                <w:szCs w:val="20"/>
              </w:rPr>
              <w:t>PC1</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567BEA" w14:textId="77777777" w:rsidR="004013F8" w:rsidRDefault="00000000">
            <w:pPr>
              <w:jc w:val="center"/>
            </w:pPr>
            <w:r>
              <w:rPr>
                <w:sz w:val="20"/>
                <w:szCs w:val="20"/>
              </w:rPr>
              <w:t>23.3%</w:t>
            </w:r>
          </w:p>
        </w:tc>
        <w:tc>
          <w:tcPr>
            <w:tcW w:w="6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DC8397" w14:textId="77777777" w:rsidR="004013F8" w:rsidRDefault="00000000">
            <w:pPr>
              <w:jc w:val="center"/>
            </w:pPr>
            <w:proofErr w:type="spellStart"/>
            <w:r>
              <w:rPr>
                <w:sz w:val="20"/>
                <w:szCs w:val="20"/>
              </w:rPr>
              <w:t>TotalWorkingYears</w:t>
            </w:r>
            <w:proofErr w:type="spellEnd"/>
            <w:r>
              <w:rPr>
                <w:sz w:val="20"/>
                <w:szCs w:val="20"/>
              </w:rPr>
              <w:t xml:space="preserve"> (0.40), </w:t>
            </w:r>
            <w:proofErr w:type="spellStart"/>
            <w:r>
              <w:rPr>
                <w:sz w:val="20"/>
                <w:szCs w:val="20"/>
              </w:rPr>
              <w:t>YearsAtCompany</w:t>
            </w:r>
            <w:proofErr w:type="spellEnd"/>
            <w:r>
              <w:rPr>
                <w:sz w:val="20"/>
                <w:szCs w:val="20"/>
              </w:rPr>
              <w:t xml:space="preserve"> (0.39), </w:t>
            </w:r>
            <w:proofErr w:type="spellStart"/>
            <w:r>
              <w:rPr>
                <w:sz w:val="20"/>
                <w:szCs w:val="20"/>
              </w:rPr>
              <w:t>JobLevel</w:t>
            </w:r>
            <w:proofErr w:type="spellEnd"/>
            <w:r>
              <w:rPr>
                <w:sz w:val="20"/>
                <w:szCs w:val="20"/>
              </w:rPr>
              <w:t xml:space="preserve"> (0.38), </w:t>
            </w:r>
            <w:proofErr w:type="spellStart"/>
            <w:r>
              <w:rPr>
                <w:sz w:val="20"/>
                <w:szCs w:val="20"/>
              </w:rPr>
              <w:t>MonthlyIncome</w:t>
            </w:r>
            <w:proofErr w:type="spellEnd"/>
            <w:r>
              <w:rPr>
                <w:sz w:val="20"/>
                <w:szCs w:val="20"/>
              </w:rPr>
              <w:t xml:space="preserve"> (0.38)</w:t>
            </w:r>
          </w:p>
        </w:tc>
      </w:tr>
      <w:tr w:rsidR="004013F8" w14:paraId="1E6C1FB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D4B3BA" w14:textId="77777777" w:rsidR="004013F8" w:rsidRDefault="00000000">
            <w:r>
              <w:rPr>
                <w:sz w:val="20"/>
                <w:szCs w:val="20"/>
              </w:rPr>
              <w:t>PC2</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FFB89D" w14:textId="77777777" w:rsidR="004013F8" w:rsidRDefault="00000000">
            <w:pPr>
              <w:jc w:val="center"/>
            </w:pPr>
            <w:r>
              <w:rPr>
                <w:sz w:val="20"/>
                <w:szCs w:val="20"/>
              </w:rPr>
              <w:t>9.0%</w:t>
            </w:r>
          </w:p>
        </w:tc>
        <w:tc>
          <w:tcPr>
            <w:tcW w:w="6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5A5B44" w14:textId="77777777" w:rsidR="004013F8" w:rsidRDefault="00000000">
            <w:pPr>
              <w:jc w:val="center"/>
            </w:pPr>
            <w:proofErr w:type="spellStart"/>
            <w:r>
              <w:rPr>
                <w:sz w:val="20"/>
                <w:szCs w:val="20"/>
              </w:rPr>
              <w:t>NumCompaniesWorked</w:t>
            </w:r>
            <w:proofErr w:type="spellEnd"/>
            <w:r>
              <w:rPr>
                <w:sz w:val="20"/>
                <w:szCs w:val="20"/>
              </w:rPr>
              <w:t xml:space="preserve"> (0.49), Age (0.38), </w:t>
            </w:r>
            <w:proofErr w:type="spellStart"/>
            <w:r>
              <w:rPr>
                <w:sz w:val="20"/>
                <w:szCs w:val="20"/>
              </w:rPr>
              <w:t>YearsWithCurrManager</w:t>
            </w:r>
            <w:proofErr w:type="spellEnd"/>
            <w:r>
              <w:rPr>
                <w:sz w:val="20"/>
                <w:szCs w:val="20"/>
              </w:rPr>
              <w:t xml:space="preserve"> (−0.36), </w:t>
            </w:r>
            <w:proofErr w:type="spellStart"/>
            <w:r>
              <w:rPr>
                <w:sz w:val="20"/>
                <w:szCs w:val="20"/>
              </w:rPr>
              <w:t>YearsInCurrentRole</w:t>
            </w:r>
            <w:proofErr w:type="spellEnd"/>
            <w:r>
              <w:rPr>
                <w:sz w:val="20"/>
                <w:szCs w:val="20"/>
              </w:rPr>
              <w:t xml:space="preserve"> (−0.35)</w:t>
            </w:r>
          </w:p>
        </w:tc>
      </w:tr>
      <w:tr w:rsidR="004013F8" w14:paraId="1341127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087090" w14:textId="77777777" w:rsidR="004013F8" w:rsidRDefault="00000000">
            <w:r>
              <w:rPr>
                <w:sz w:val="20"/>
                <w:szCs w:val="20"/>
              </w:rPr>
              <w:t>PC3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D3250C" w14:textId="77777777" w:rsidR="004013F8" w:rsidRDefault="00000000">
            <w:pPr>
              <w:jc w:val="center"/>
            </w:pPr>
            <w:r>
              <w:rPr>
                <w:sz w:val="20"/>
                <w:szCs w:val="20"/>
              </w:rPr>
              <w:t>5.7%</w:t>
            </w:r>
          </w:p>
        </w:tc>
        <w:tc>
          <w:tcPr>
            <w:tcW w:w="6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4103F2" w14:textId="77777777" w:rsidR="004013F8" w:rsidRDefault="00000000">
            <w:pPr>
              <w:jc w:val="center"/>
            </w:pPr>
            <w:proofErr w:type="spellStart"/>
            <w:r>
              <w:rPr>
                <w:sz w:val="20"/>
                <w:szCs w:val="20"/>
              </w:rPr>
              <w:t>OverTimeFlag</w:t>
            </w:r>
            <w:proofErr w:type="spellEnd"/>
            <w:r>
              <w:rPr>
                <w:sz w:val="20"/>
                <w:szCs w:val="20"/>
              </w:rPr>
              <w:t xml:space="preserve"> (0.68), </w:t>
            </w:r>
            <w:proofErr w:type="spellStart"/>
            <w:r>
              <w:rPr>
                <w:sz w:val="20"/>
                <w:szCs w:val="20"/>
              </w:rPr>
              <w:t>TrainingTimesLastYear</w:t>
            </w:r>
            <w:proofErr w:type="spellEnd"/>
            <w:r>
              <w:rPr>
                <w:sz w:val="20"/>
                <w:szCs w:val="20"/>
              </w:rPr>
              <w:t xml:space="preserve"> (−0.43), </w:t>
            </w:r>
            <w:proofErr w:type="spellStart"/>
            <w:r>
              <w:rPr>
                <w:sz w:val="20"/>
                <w:szCs w:val="20"/>
              </w:rPr>
              <w:t>EnvironmentSatisfaction</w:t>
            </w:r>
            <w:proofErr w:type="spellEnd"/>
            <w:r>
              <w:rPr>
                <w:sz w:val="20"/>
                <w:szCs w:val="20"/>
              </w:rPr>
              <w:t xml:space="preserve"> (0.35), </w:t>
            </w:r>
            <w:proofErr w:type="spellStart"/>
            <w:r>
              <w:rPr>
                <w:sz w:val="20"/>
                <w:szCs w:val="20"/>
              </w:rPr>
              <w:t>RelationshipSatisfaction</w:t>
            </w:r>
            <w:proofErr w:type="spellEnd"/>
            <w:r>
              <w:rPr>
                <w:sz w:val="20"/>
                <w:szCs w:val="20"/>
              </w:rPr>
              <w:t xml:space="preserve"> (0.26)</w:t>
            </w:r>
          </w:p>
        </w:tc>
      </w:tr>
    </w:tbl>
    <w:p w14:paraId="426D1D05" w14:textId="77777777" w:rsidR="004013F8" w:rsidRDefault="004013F8">
      <w:pPr>
        <w:spacing w:after="80"/>
      </w:pPr>
    </w:p>
    <w:p w14:paraId="6EFF1A7C" w14:textId="77777777" w:rsidR="004013F8" w:rsidRDefault="00000000">
      <w:pPr>
        <w:pStyle w:val="ListParagraph"/>
        <w:numPr>
          <w:ilvl w:val="0"/>
          <w:numId w:val="3"/>
        </w:numPr>
        <w:spacing w:after="60" w:line="290" w:lineRule="auto"/>
      </w:pPr>
      <w:r>
        <w:rPr>
          <w:b/>
          <w:bCs/>
        </w:rPr>
        <w:t>PC1</w:t>
      </w:r>
      <w:r>
        <w:t xml:space="preserve"> is mostly about experience and seniority. Employees with a high PC1 have many working years, a high job level and a high income.</w:t>
      </w:r>
    </w:p>
    <w:p w14:paraId="4BA806CD" w14:textId="77777777" w:rsidR="004013F8" w:rsidRDefault="00000000">
      <w:pPr>
        <w:pStyle w:val="ListParagraph"/>
        <w:numPr>
          <w:ilvl w:val="0"/>
          <w:numId w:val="3"/>
        </w:numPr>
        <w:spacing w:after="60" w:line="290" w:lineRule="auto"/>
      </w:pPr>
      <w:r>
        <w:rPr>
          <w:b/>
          <w:bCs/>
        </w:rPr>
        <w:t>PC2</w:t>
      </w:r>
      <w:r>
        <w:t xml:space="preserve"> is about career history. It is high for older employees who worked in many companies, and low for employees who stayed long with the same manager and in the same role.</w:t>
      </w:r>
    </w:p>
    <w:p w14:paraId="0819B4C7" w14:textId="77777777" w:rsidR="004013F8" w:rsidRDefault="00000000">
      <w:pPr>
        <w:pStyle w:val="ListParagraph"/>
        <w:numPr>
          <w:ilvl w:val="0"/>
          <w:numId w:val="3"/>
        </w:numPr>
        <w:spacing w:after="60" w:line="290" w:lineRule="auto"/>
      </w:pPr>
      <w:r>
        <w:rPr>
          <w:b/>
          <w:bCs/>
        </w:rPr>
        <w:t>PC3</w:t>
      </w:r>
      <w:r>
        <w:t xml:space="preserve"> is about the work environment. It is mostly overtime, together with training and satisfaction.</w:t>
      </w:r>
    </w:p>
    <w:p w14:paraId="5D38E2A6" w14:textId="77777777" w:rsidR="004013F8" w:rsidRDefault="00000000">
      <w:pPr>
        <w:spacing w:before="120"/>
        <w:jc w:val="center"/>
      </w:pPr>
      <w:r>
        <w:rPr>
          <w:noProof/>
        </w:rPr>
        <w:drawing>
          <wp:inline distT="0" distB="0" distL="0" distR="0" wp14:anchorId="34973970" wp14:editId="28834D90">
            <wp:extent cx="3476625" cy="4057650"/>
            <wp:effectExtent l="0" t="0" r="0" b="0"/>
            <wp:docPr id="1676534355" name="Figure 2: Loadings of the first three components" descr="Figure 2: Loadings of the first three components" title="Figure 2: Loadings of the first thre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76625" cy="4057650"/>
                    </a:xfrm>
                    <a:prstGeom prst="rect">
                      <a:avLst/>
                    </a:prstGeom>
                  </pic:spPr>
                </pic:pic>
              </a:graphicData>
            </a:graphic>
          </wp:inline>
        </w:drawing>
      </w:r>
    </w:p>
    <w:p w14:paraId="6A5BE886" w14:textId="77777777" w:rsidR="004013F8" w:rsidRDefault="00000000">
      <w:pPr>
        <w:spacing w:before="60" w:after="200"/>
        <w:jc w:val="center"/>
      </w:pPr>
      <w:r>
        <w:rPr>
          <w:i/>
          <w:iCs/>
          <w:sz w:val="21"/>
          <w:szCs w:val="21"/>
        </w:rPr>
        <w:t>Figure 2: Loadings of the first three components</w:t>
      </w:r>
    </w:p>
    <w:p w14:paraId="62F43DEF" w14:textId="77777777" w:rsidR="004013F8" w:rsidRDefault="00000000">
      <w:pPr>
        <w:pStyle w:val="Heading1"/>
        <w:keepNext/>
        <w:spacing w:before="260" w:after="120"/>
      </w:pPr>
      <w:r>
        <w:rPr>
          <w:b/>
          <w:bCs/>
          <w:color w:val="000000"/>
          <w:sz w:val="28"/>
          <w:szCs w:val="28"/>
        </w:rPr>
        <w:t>5. Using PCA to see the employee groups</w:t>
      </w:r>
    </w:p>
    <w:p w14:paraId="4EF8F12F" w14:textId="77777777" w:rsidR="004013F8" w:rsidRDefault="00000000">
      <w:pPr>
        <w:spacing w:after="120" w:line="300" w:lineRule="auto"/>
        <w:jc w:val="both"/>
      </w:pPr>
      <w:r>
        <w:t xml:space="preserve">We plotted the employees on PC1 and PC2 and coloured them by the K-Means segment. The Early-Career Core is on the left side (low PC1), the Senior Experts are on the right side (high PC1), and the Established Mid-Career is in the lower middle. This fits with PC1 being seniority. </w:t>
      </w:r>
      <w:r>
        <w:lastRenderedPageBreak/>
        <w:t>The groups touch and overlap at the edges, which matches the low silhouette score (0.126) of the clustering. The third panel shows the employees who left (red). Most of the red points are on the left side, which is the early-career area, and only a few are on the right side.</w:t>
      </w:r>
    </w:p>
    <w:p w14:paraId="3F497F7A" w14:textId="77777777" w:rsidR="004013F8" w:rsidRDefault="00000000">
      <w:pPr>
        <w:spacing w:before="120"/>
        <w:jc w:val="center"/>
      </w:pPr>
      <w:r>
        <w:rPr>
          <w:noProof/>
        </w:rPr>
        <w:drawing>
          <wp:inline distT="0" distB="0" distL="0" distR="0" wp14:anchorId="504358EA" wp14:editId="42B6ED69">
            <wp:extent cx="5848350" cy="1695450"/>
            <wp:effectExtent l="0" t="0" r="0" b="0"/>
            <wp:docPr id="402289005" name="Figure 3: Employees on PC1 and PC2 coloured by K-Means segment, Ward cluster and attrition" descr="Figure 3: Employees on PC1 and PC2 coloured by K-Means segment, Ward cluster and attrition" title="Figure 3: Employees on PC1 and PC2 coloured by K-Means segment, Ward cluster and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1695450"/>
                    </a:xfrm>
                    <a:prstGeom prst="rect">
                      <a:avLst/>
                    </a:prstGeom>
                  </pic:spPr>
                </pic:pic>
              </a:graphicData>
            </a:graphic>
          </wp:inline>
        </w:drawing>
      </w:r>
    </w:p>
    <w:p w14:paraId="01AC3847" w14:textId="77777777" w:rsidR="004013F8" w:rsidRDefault="00000000">
      <w:pPr>
        <w:spacing w:before="60" w:after="200"/>
        <w:jc w:val="center"/>
      </w:pPr>
      <w:r>
        <w:rPr>
          <w:i/>
          <w:iCs/>
          <w:sz w:val="21"/>
          <w:szCs w:val="21"/>
        </w:rPr>
        <w:t>Figure 3: Employees on PC1 and PC2 coloured by K-Means segment, Ward cluster and attrition</w:t>
      </w:r>
    </w:p>
    <w:p w14:paraId="46F79DCF" w14:textId="77777777" w:rsidR="004013F8" w:rsidRDefault="00000000">
      <w:pPr>
        <w:pStyle w:val="Heading1"/>
        <w:keepNext/>
        <w:spacing w:before="260" w:after="120"/>
      </w:pPr>
      <w:r>
        <w:rPr>
          <w:b/>
          <w:bCs/>
          <w:color w:val="000000"/>
          <w:sz w:val="28"/>
          <w:szCs w:val="28"/>
        </w:rPr>
        <w:t>6. Limitations</w:t>
      </w:r>
    </w:p>
    <w:p w14:paraId="246DF9E0" w14:textId="77777777" w:rsidR="004013F8" w:rsidRDefault="00000000">
      <w:pPr>
        <w:pStyle w:val="ListParagraph"/>
        <w:numPr>
          <w:ilvl w:val="0"/>
          <w:numId w:val="3"/>
        </w:numPr>
        <w:spacing w:after="60" w:line="290" w:lineRule="auto"/>
      </w:pPr>
      <w:r>
        <w:t>The components are mixtures of features, so they are harder to explain than the original columns.</w:t>
      </w:r>
    </w:p>
    <w:p w14:paraId="2A17D188" w14:textId="77777777" w:rsidR="004013F8" w:rsidRDefault="00000000">
      <w:pPr>
        <w:pStyle w:val="ListParagraph"/>
        <w:numPr>
          <w:ilvl w:val="0"/>
          <w:numId w:val="3"/>
        </w:numPr>
        <w:spacing w:after="60" w:line="290" w:lineRule="auto"/>
      </w:pPr>
      <w:r>
        <w:t>The first three components explain only about 38% of the variance (23.3% + 9.0% + 5.7%), so a 2D plot cannot show everything.</w:t>
      </w:r>
    </w:p>
    <w:p w14:paraId="6ECE08FF" w14:textId="77777777" w:rsidR="004013F8" w:rsidRDefault="00000000">
      <w:pPr>
        <w:pStyle w:val="ListParagraph"/>
        <w:numPr>
          <w:ilvl w:val="0"/>
          <w:numId w:val="3"/>
        </w:numPr>
        <w:spacing w:after="60" w:line="290" w:lineRule="auto"/>
      </w:pPr>
      <w:r>
        <w:t>PCA works on linear relations only.</w:t>
      </w:r>
    </w:p>
    <w:p w14:paraId="713C207C" w14:textId="77777777" w:rsidR="004013F8" w:rsidRDefault="00000000">
      <w:pPr>
        <w:pStyle w:val="Heading1"/>
        <w:keepNext/>
        <w:spacing w:before="260" w:after="120"/>
      </w:pPr>
      <w:r>
        <w:rPr>
          <w:b/>
          <w:bCs/>
          <w:color w:val="000000"/>
          <w:sz w:val="28"/>
          <w:szCs w:val="28"/>
        </w:rPr>
        <w:t>7. Conclusion</w:t>
      </w:r>
    </w:p>
    <w:p w14:paraId="2AB72D02" w14:textId="77777777" w:rsidR="004013F8" w:rsidRDefault="00000000">
      <w:pPr>
        <w:spacing w:after="120" w:line="300" w:lineRule="auto"/>
        <w:jc w:val="both"/>
      </w:pPr>
      <w:r>
        <w:t>PCA reduced 20 features to 12 components and kept 83.2% of the variance. The first component shows seniority and it separates the segments the most. The 12 components were then used as input for K-Means and Hierarchical clustering.</w:t>
      </w:r>
    </w:p>
    <w:sectPr w:rsidR="004013F8">
      <w:footerReference w:type="default" r:id="rId10"/>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C2127" w14:textId="77777777" w:rsidR="00F516A7" w:rsidRDefault="00F516A7">
      <w:r>
        <w:separator/>
      </w:r>
    </w:p>
  </w:endnote>
  <w:endnote w:type="continuationSeparator" w:id="0">
    <w:p w14:paraId="0EB5E427" w14:textId="77777777" w:rsidR="00F516A7" w:rsidRDefault="00F51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DB30" w14:textId="77777777" w:rsidR="004013F8" w:rsidRDefault="00000000">
    <w:pPr>
      <w:jc w:val="center"/>
    </w:pPr>
    <w:r>
      <w:rPr>
        <w:sz w:val="20"/>
        <w:szCs w:val="20"/>
      </w:rPr>
      <w:fldChar w:fldCharType="begin"/>
    </w:r>
    <w:r>
      <w:rPr>
        <w:sz w:val="20"/>
        <w:szCs w:val="20"/>
      </w:rPr>
      <w:instrText>PAGE</w:instrText>
    </w:r>
    <w:r>
      <w:rPr>
        <w:sz w:val="20"/>
        <w:szCs w:val="20"/>
      </w:rPr>
      <w:fldChar w:fldCharType="separate"/>
    </w:r>
    <w:r w:rsidR="000D339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3E8C" w14:textId="77777777" w:rsidR="00F516A7" w:rsidRDefault="00F516A7">
      <w:r>
        <w:separator/>
      </w:r>
    </w:p>
  </w:footnote>
  <w:footnote w:type="continuationSeparator" w:id="0">
    <w:p w14:paraId="1A40102E" w14:textId="77777777" w:rsidR="00F516A7" w:rsidRDefault="00F516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367ED"/>
    <w:multiLevelType w:val="hybridMultilevel"/>
    <w:tmpl w:val="8DF22526"/>
    <w:lvl w:ilvl="0" w:tplc="AB2ADF66">
      <w:start w:val="1"/>
      <w:numFmt w:val="decimal"/>
      <w:lvlText w:val="%1."/>
      <w:lvlJc w:val="left"/>
      <w:pPr>
        <w:ind w:left="540" w:hanging="360"/>
      </w:pPr>
    </w:lvl>
    <w:lvl w:ilvl="1" w:tplc="F0A0A8D6">
      <w:numFmt w:val="decimal"/>
      <w:lvlText w:val=""/>
      <w:lvlJc w:val="left"/>
    </w:lvl>
    <w:lvl w:ilvl="2" w:tplc="BBB23474">
      <w:numFmt w:val="decimal"/>
      <w:lvlText w:val=""/>
      <w:lvlJc w:val="left"/>
    </w:lvl>
    <w:lvl w:ilvl="3" w:tplc="CB0E8FFE">
      <w:numFmt w:val="decimal"/>
      <w:lvlText w:val=""/>
      <w:lvlJc w:val="left"/>
    </w:lvl>
    <w:lvl w:ilvl="4" w:tplc="67905E94">
      <w:numFmt w:val="decimal"/>
      <w:lvlText w:val=""/>
      <w:lvlJc w:val="left"/>
    </w:lvl>
    <w:lvl w:ilvl="5" w:tplc="DE701CEE">
      <w:numFmt w:val="decimal"/>
      <w:lvlText w:val=""/>
      <w:lvlJc w:val="left"/>
    </w:lvl>
    <w:lvl w:ilvl="6" w:tplc="20943828">
      <w:numFmt w:val="decimal"/>
      <w:lvlText w:val=""/>
      <w:lvlJc w:val="left"/>
    </w:lvl>
    <w:lvl w:ilvl="7" w:tplc="AE1E563C">
      <w:numFmt w:val="decimal"/>
      <w:lvlText w:val=""/>
      <w:lvlJc w:val="left"/>
    </w:lvl>
    <w:lvl w:ilvl="8" w:tplc="D846ABE2">
      <w:numFmt w:val="decimal"/>
      <w:lvlText w:val=""/>
      <w:lvlJc w:val="left"/>
    </w:lvl>
  </w:abstractNum>
  <w:abstractNum w:abstractNumId="1" w15:restartNumberingAfterBreak="0">
    <w:nsid w:val="13670DBD"/>
    <w:multiLevelType w:val="hybridMultilevel"/>
    <w:tmpl w:val="6070079A"/>
    <w:lvl w:ilvl="0" w:tplc="DE6A05C4">
      <w:start w:val="1"/>
      <w:numFmt w:val="bullet"/>
      <w:lvlText w:val="●"/>
      <w:lvlJc w:val="left"/>
      <w:pPr>
        <w:ind w:left="720" w:hanging="360"/>
      </w:pPr>
    </w:lvl>
    <w:lvl w:ilvl="1" w:tplc="A3322502">
      <w:start w:val="1"/>
      <w:numFmt w:val="bullet"/>
      <w:lvlText w:val="○"/>
      <w:lvlJc w:val="left"/>
      <w:pPr>
        <w:ind w:left="1440" w:hanging="360"/>
      </w:pPr>
    </w:lvl>
    <w:lvl w:ilvl="2" w:tplc="395CFC08">
      <w:start w:val="1"/>
      <w:numFmt w:val="bullet"/>
      <w:lvlText w:val="■"/>
      <w:lvlJc w:val="left"/>
      <w:pPr>
        <w:ind w:left="2160" w:hanging="360"/>
      </w:pPr>
    </w:lvl>
    <w:lvl w:ilvl="3" w:tplc="43543BD8">
      <w:start w:val="1"/>
      <w:numFmt w:val="bullet"/>
      <w:lvlText w:val="●"/>
      <w:lvlJc w:val="left"/>
      <w:pPr>
        <w:ind w:left="2880" w:hanging="360"/>
      </w:pPr>
    </w:lvl>
    <w:lvl w:ilvl="4" w:tplc="573855A2">
      <w:start w:val="1"/>
      <w:numFmt w:val="bullet"/>
      <w:lvlText w:val="○"/>
      <w:lvlJc w:val="left"/>
      <w:pPr>
        <w:ind w:left="3600" w:hanging="360"/>
      </w:pPr>
    </w:lvl>
    <w:lvl w:ilvl="5" w:tplc="C04A5D88">
      <w:start w:val="1"/>
      <w:numFmt w:val="bullet"/>
      <w:lvlText w:val="■"/>
      <w:lvlJc w:val="left"/>
      <w:pPr>
        <w:ind w:left="4320" w:hanging="360"/>
      </w:pPr>
    </w:lvl>
    <w:lvl w:ilvl="6" w:tplc="B2CE1ED0">
      <w:start w:val="1"/>
      <w:numFmt w:val="bullet"/>
      <w:lvlText w:val="●"/>
      <w:lvlJc w:val="left"/>
      <w:pPr>
        <w:ind w:left="5040" w:hanging="360"/>
      </w:pPr>
    </w:lvl>
    <w:lvl w:ilvl="7" w:tplc="9044F554">
      <w:start w:val="1"/>
      <w:numFmt w:val="bullet"/>
      <w:lvlText w:val="●"/>
      <w:lvlJc w:val="left"/>
      <w:pPr>
        <w:ind w:left="5760" w:hanging="360"/>
      </w:pPr>
    </w:lvl>
    <w:lvl w:ilvl="8" w:tplc="398AE95C">
      <w:start w:val="1"/>
      <w:numFmt w:val="bullet"/>
      <w:lvlText w:val="●"/>
      <w:lvlJc w:val="left"/>
      <w:pPr>
        <w:ind w:left="6480" w:hanging="360"/>
      </w:pPr>
    </w:lvl>
  </w:abstractNum>
  <w:abstractNum w:abstractNumId="2" w15:restartNumberingAfterBreak="0">
    <w:nsid w:val="28EF0E3E"/>
    <w:multiLevelType w:val="hybridMultilevel"/>
    <w:tmpl w:val="4A82E182"/>
    <w:lvl w:ilvl="0" w:tplc="FCF048B6">
      <w:start w:val="1"/>
      <w:numFmt w:val="bullet"/>
      <w:lvlText w:val="•"/>
      <w:lvlJc w:val="left"/>
      <w:pPr>
        <w:ind w:left="540" w:hanging="270"/>
      </w:pPr>
    </w:lvl>
    <w:lvl w:ilvl="1" w:tplc="FFC609DE">
      <w:numFmt w:val="decimal"/>
      <w:lvlText w:val=""/>
      <w:lvlJc w:val="left"/>
    </w:lvl>
    <w:lvl w:ilvl="2" w:tplc="CDFA8B2E">
      <w:numFmt w:val="decimal"/>
      <w:lvlText w:val=""/>
      <w:lvlJc w:val="left"/>
    </w:lvl>
    <w:lvl w:ilvl="3" w:tplc="FD58B870">
      <w:numFmt w:val="decimal"/>
      <w:lvlText w:val=""/>
      <w:lvlJc w:val="left"/>
    </w:lvl>
    <w:lvl w:ilvl="4" w:tplc="151AC33C">
      <w:numFmt w:val="decimal"/>
      <w:lvlText w:val=""/>
      <w:lvlJc w:val="left"/>
    </w:lvl>
    <w:lvl w:ilvl="5" w:tplc="781E8C96">
      <w:numFmt w:val="decimal"/>
      <w:lvlText w:val=""/>
      <w:lvlJc w:val="left"/>
    </w:lvl>
    <w:lvl w:ilvl="6" w:tplc="DAAEBCEE">
      <w:numFmt w:val="decimal"/>
      <w:lvlText w:val=""/>
      <w:lvlJc w:val="left"/>
    </w:lvl>
    <w:lvl w:ilvl="7" w:tplc="6AF83E3E">
      <w:numFmt w:val="decimal"/>
      <w:lvlText w:val=""/>
      <w:lvlJc w:val="left"/>
    </w:lvl>
    <w:lvl w:ilvl="8" w:tplc="435A3F1C">
      <w:numFmt w:val="decimal"/>
      <w:lvlText w:val=""/>
      <w:lvlJc w:val="left"/>
    </w:lvl>
  </w:abstractNum>
  <w:num w:numId="1" w16cid:durableId="1294360416">
    <w:abstractNumId w:val="1"/>
    <w:lvlOverride w:ilvl="0">
      <w:startOverride w:val="1"/>
    </w:lvlOverride>
  </w:num>
  <w:num w:numId="2" w16cid:durableId="683744480">
    <w:abstractNumId w:val="0"/>
    <w:lvlOverride w:ilvl="0">
      <w:startOverride w:val="1"/>
    </w:lvlOverride>
  </w:num>
  <w:num w:numId="3" w16cid:durableId="15062887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F8"/>
    <w:rsid w:val="000D339F"/>
    <w:rsid w:val="004013F8"/>
    <w:rsid w:val="00F308CE"/>
    <w:rsid w:val="00F516A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3C234"/>
  <w15:docId w15:val="{4463CD63-6968-4792-9CCC-8E75AA05F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2026-10-19T08:40:00Z</dcterms:created>
  <dcterms:modified xsi:type="dcterms:W3CDTF">2026-10-19T08:40:00Z</dcterms:modified>
</cp:coreProperties>
</file>