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3A5F" w:val="clear"/>
        <w:spacing w:after="0" w:before="0"/>
        <w:jc w:val="center"/>
      </w:pPr>
      <w:r>
        <w:rPr>
          <w:rFonts w:ascii="Arial" w:cs="Arial" w:eastAsia="Arial" w:hAnsi="Arial"/>
          <w:sz w:val="10"/>
          <w:szCs w:val="10"/>
        </w:rPr>
        <w:t xml:space="preserve"> </w:t>
      </w:r>
    </w:p>
    <w:p>
      <w:pPr>
        <w:shd w:fill="1E3A5F" w:val="clear"/>
        <w:spacing w:after="0" w:before="0"/>
        <w:jc w:val="center"/>
      </w:pPr>
      <w:r>
        <w:rPr>
          <w:rFonts w:ascii="Arial" w:cs="Arial" w:eastAsia="Arial" w:hAnsi="Arial"/>
          <w:b/>
          <w:bCs/>
          <w:caps/>
          <w:color w:val="D6E4F0"/>
          <w:sz w:val="22"/>
          <w:szCs w:val="22"/>
        </w:rPr>
        <w:t xml:space="preserve">PROJECT SYNOPSIS</w:t>
      </w:r>
    </w:p>
    <w:p>
      <w:pPr>
        <w:shd w:fill="1E3A5F" w:val="clear"/>
        <w:spacing w:after="0" w:before="6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Policy Definition and Management System</w:t>
      </w:r>
    </w:p>
    <w:p>
      <w:pPr>
        <w:shd w:fill="1E3A5F" w:val="clear"/>
        <w:spacing w:after="0" w:before="80"/>
        <w:jc w:val="center"/>
      </w:pPr>
      <w:r>
        <w:rPr>
          <w:rFonts w:ascii="Arial" w:cs="Arial" w:eastAsia="Arial" w:hAnsi="Arial"/>
          <w:i/>
          <w:iCs/>
          <w:color w:val="D6E4F0"/>
          <w:sz w:val="28"/>
          <w:szCs w:val="28"/>
        </w:rPr>
        <w:t xml:space="preserve">with Rule-Based Governance UI</w:t>
      </w:r>
    </w:p>
    <w:p>
      <w:pPr>
        <w:shd w:fill="1E3A5F" w:val="clear"/>
        <w:spacing w:after="0" w:before="120"/>
        <w:jc w:val="center"/>
      </w:pPr>
      <w:r>
        <w:rPr>
          <w:rFonts w:ascii="Arial" w:cs="Arial" w:eastAsia="Arial" w:hAnsi="Arial"/>
          <w:color w:val="D6E4F0"/>
          <w:sz w:val="20"/>
          <w:szCs w:val="20"/>
        </w:rPr>
        <w:t xml:space="preserve">Industry Project  ·  Rubiscape  ·  Data Governance Domain</w:t>
      </w:r>
    </w:p>
    <w:p>
      <w:pPr>
        <w:shd w:fill="1E3A5F" w:val="clear"/>
        <w:spacing w:after="0" w:before="0"/>
        <w:jc w:val="center"/>
      </w:pPr>
      <w:r>
        <w:rPr>
          <w:rFonts w:ascii="Arial" w:cs="Arial" w:eastAsia="Arial" w:hAnsi="Arial"/>
          <w:sz w:val="10"/>
          <w:szCs w:val="1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TEAM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Shripad Rathod · 22311896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Atharv Mandhare · 22311543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GUIDE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Prof. Manisha Mali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Industry: Rubiscape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STACK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React · Node.js · Express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MongoDB · REST API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hd w:fill="1E3A5F" w:val="clear"/>
        <w:spacing w:after="0" w:before="0"/>
        <w:ind w:left="24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1.  Introduction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The rapid proliferation of digital systems across enterprises has made policy management a foundational pillar of modern data governance. Organisations must enforce access control, data quality, and compliance directives consistently across their data platforms — and regulatory frameworks such as the GDPR, HIPAA, and ISO/IEC 27001 mandate demonstrable governance controls that cannot be met by manual, ad hoc approaches.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This project, developed as an industry engagement for Rubiscape — a data governance and analytics platform — delivers a full-stack web application that allows governance administrators to define, manage, activate, and monitor policies entirely through a browser-based visual interface. No code is written by the user at any point. Policies are encoded as structured, machine-readable rule objects that can be persisted, retrieved, and consumed by downstream platform components for automated enforcement.</w:t>
      </w:r>
    </w:p>
    <w:p>
      <w:pPr>
        <w:spacing w:after="60" w:before="60"/>
      </w:pPr>
      <w:r>
        <w:t xml:space="preserve"/>
      </w:r>
    </w:p>
    <w:p>
      <w:pPr>
        <w:pStyle w:val="Heading1"/>
        <w:shd w:fill="1E3A5F" w:val="clear"/>
        <w:spacing w:after="0" w:before="0"/>
        <w:ind w:left="24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2.  Problem Statement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Existing governance tooling imposes significant barriers that prevent non-technical administrators from participating directly in policy management: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468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1E3A5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468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1E3A5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468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Manual policy management</w:t>
            </w:r>
          </w:p>
        </w:tc>
        <w:tc>
          <w:tcPr>
            <w:tcW w:type="dxa" w:w="468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Error-prone, slow to update, entirely developer-dependent.</w:t>
            </w:r>
          </w:p>
        </w:tc>
      </w:tr>
      <w:tr>
        <w:tc>
          <w:tcPr>
            <w:tcW w:type="dxa" w:w="468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visual authoring interface</w:t>
            </w:r>
          </w:p>
        </w:tc>
        <w:tc>
          <w:tcPr>
            <w:tcW w:type="dxa" w:w="468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Non-technical users — compliance officers, data stewards — are excluded from the authoring process.</w:t>
            </w:r>
          </w:p>
        </w:tc>
      </w:tr>
      <w:tr>
        <w:tc>
          <w:tcPr>
            <w:tcW w:type="dxa" w:w="468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Existing tools require specialised languages</w:t>
            </w:r>
          </w:p>
        </w:tc>
        <w:tc>
          <w:tcPr>
            <w:tcW w:type="dxa" w:w="468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XACML requires verbose XML; Drools requires DRL syntax; IBM ODM requires Business Action Language — all demand engineering expertise.</w:t>
            </w:r>
          </w:p>
        </w:tc>
      </w:tr>
      <w:tr>
        <w:tc>
          <w:tcPr>
            <w:tcW w:type="dxa" w:w="468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centralised status monitoring</w:t>
            </w:r>
          </w:p>
        </w:tc>
        <w:tc>
          <w:tcPr>
            <w:tcW w:type="dxa" w:w="468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Policy activation state is invisible; there is no single view of what policies are live.</w:t>
            </w:r>
          </w:p>
        </w:tc>
      </w:tr>
      <w:tr>
        <w:tc>
          <w:tcPr>
            <w:tcW w:type="dxa" w:w="468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Dynamic policy creation is blocked</w:t>
            </w:r>
          </w:p>
        </w:tc>
        <w:tc>
          <w:tcPr>
            <w:tcW w:type="dxa" w:w="468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Any modification to a policy requires a developer and a deployment cycle, slowing governance response.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hd w:fill="1E3A5F" w:val="clear"/>
        <w:spacing w:after="0" w:before="0"/>
        <w:ind w:left="24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3.  Proposed Solution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The proposed system resolves these problems through three tightly integrated components: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Visual Rule Builder — A form-driven interface in which each governance condition is constructed by selecting a Field, an Operator, and a Value. Multiple conditions are combined using an AND / OR logic selector. No knowledge of query languages, rule engines, or data schemas is required.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Rule-Based Policy Engine — Policies are stored as structured JSON documents conforming to a validated schema: { name, type, rule: { logic, conditions[] }, action, status }. The rule object is both human-readable and machine-evaluable.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Full-Stack REST Architecture — A React.js frontend communicates with a Node.js / Express.js backend API over HTTP. Policies are persisted in MongoDB via a Mongoose ODM schema that enforces type safety, enum validation, and timestamps.</w:t>
      </w:r>
    </w:p>
    <w:p>
      <w:pPr>
        <w:spacing w:after="60" w:before="60"/>
      </w:pPr>
      <w:r>
        <w:t xml:space="preserve"/>
      </w:r>
    </w:p>
    <w:p>
      <w:pPr>
        <w:pStyle w:val="Heading1"/>
        <w:shd w:fill="1E3A5F" w:val="clear"/>
        <w:spacing w:after="0" w:before="0"/>
        <w:ind w:left="24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4.  Objectives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Enable non-technical governance administrators to create compound conditional policies through a browser-based visual interface without writing code.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Provide complete CRUD operations — Create, Edit, Delete — for governance policies.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Support policy status lifecycle management via a single-click active ↔ inactive toggle.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Deliver a real-time JSON preview that displays the generated rule object as the user builds conditions.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Provide a dashboard with summary statistics: total, active, and inactive policy counts.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Support policy filtering by type and status, and debounced text search by name, with pagination.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Enforce backend payload validation independent of frontend validation using express-validator.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Persist all policies as validated, schema-conformant documents in MongoDB.</w:t>
      </w:r>
    </w:p>
    <w:p>
      <w:pPr>
        <w:spacing w:after="60" w:before="60"/>
      </w:pPr>
      <w:r>
        <w:t xml:space="preserve"/>
      </w:r>
    </w:p>
    <w:p>
      <w:pPr>
        <w:pStyle w:val="Heading1"/>
        <w:shd w:fill="1E3A5F" w:val="clear"/>
        <w:spacing w:after="0" w:before="0"/>
        <w:ind w:left="24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5.  System Architecture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The system follows a three-tier client-server architecture. The frontend is a React.js single-page application that communicates with the backend exclusively via Axios HTTP calls. The backend follows a Controller → Service → Model layered pattern, ensuring that no business logic resides in route handlers. The persistence tier uses MongoDB with Mongoose ODM.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2520"/>
        <w:gridCol w:w="2520"/>
        <w:gridCol w:w="2640"/>
      </w:tblGrid>
      <w:tr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1E3A5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1E3A5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1E3A5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1E3A5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Components</w:t>
            </w:r>
          </w:p>
        </w:tc>
      </w:tr>
      <w:tr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Frontend</w:t>
            </w:r>
          </w:p>
        </w:tc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React.js, Tailwind CSS, Axios, React Router v6</w:t>
            </w:r>
          </w:p>
        </w:tc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UI rendering, client-side validation, API dispatch</w:t>
            </w:r>
          </w:p>
        </w:tc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Dashboard, Policy List, Rule Builder Form</w:t>
            </w:r>
          </w:p>
        </w:tc>
      </w:tr>
      <w:tr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Node.js, Express.js, express-validator</w:t>
            </w:r>
          </w:p>
        </w:tc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Routing, validation, business logic</w:t>
            </w:r>
          </w:p>
        </w:tc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PolicyController, PolicyService, Validators</w:t>
            </w:r>
          </w:p>
        </w:tc>
      </w:tr>
      <w:tr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Database</w:t>
            </w:r>
          </w:p>
        </w:tc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MongoDB 6+, Mongoose ODM</w:t>
            </w:r>
          </w:p>
        </w:tc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Persistence, schema validation, indexing</w:t>
            </w:r>
          </w:p>
        </w:tc>
        <w:tc>
          <w:tcPr>
            <w:tcW w:type="dxa" w:w="234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PolicyModel, nested rule schema, indexes</w:t>
            </w:r>
          </w:p>
        </w:tc>
      </w:tr>
    </w:tbl>
    <w:p>
      <w:pPr>
        <w:spacing w:after="80" w:before="8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Request flow: User fills policy form → React validates and dispatches Axios POST → express-validator checks payload → Controller invokes Service → Service calls Mongoose Model → MongoDB persists document → HTTP 201 returned → UI shows toast and redirects to list.</w:t>
      </w:r>
    </w:p>
    <w:p>
      <w:pPr>
        <w:spacing w:after="60" w:before="60"/>
      </w:pPr>
      <w:r>
        <w:t xml:space="preserve"/>
      </w:r>
    </w:p>
    <w:p>
      <w:pPr>
        <w:pStyle w:val="Heading1"/>
        <w:shd w:fill="1E3A5F" w:val="clear"/>
        <w:spacing w:after="0" w:before="0"/>
        <w:ind w:left="24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6.  Key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468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1E3A5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1E3A5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Visual Rule Builder</w:t>
            </w:r>
          </w:p>
        </w:tc>
        <w:tc>
          <w:tcPr>
            <w:tcW w:type="dxa" w:w="468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Step-by-step form: Field → Operator (=, !=, &gt;, &lt;, &gt;=, &lt;=, contains) → Value. Add / remove conditions dynamically. AND / OR logic selector. Live JSON preview updates in real-time.</w:t>
            </w:r>
          </w:p>
        </w:tc>
      </w:tr>
      <w:tr>
        <w:tc>
          <w:tcPr>
            <w:tcW w:type="dxa" w:w="468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Policy CRUD</w:t>
            </w:r>
          </w:p>
        </w:tc>
        <w:tc>
          <w:tcPr>
            <w:tcW w:type="dxa" w:w="468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 via POST /api/policies. Read list (GET) and detail (GET /:id). Full update via PUT /:id. Delete with confirmation modal via DELETE /:id.</w:t>
            </w:r>
          </w:p>
        </w:tc>
      </w:tr>
      <w:tr>
        <w:tc>
          <w:tcPr>
            <w:tcW w:type="dxa" w:w="468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Status Toggle</w:t>
            </w:r>
          </w:p>
        </w:tc>
        <w:tc>
          <w:tcPr>
            <w:tcW w:type="dxa" w:w="468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PATCH /api/policies/:id/toggle flips active ↔ inactive instantly. Status reflected as colour-coded badge in the list view.</w:t>
            </w:r>
          </w:p>
        </w:tc>
      </w:tr>
      <w:tr>
        <w:tc>
          <w:tcPr>
            <w:tcW w:type="dxa" w:w="468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Dashboard</w:t>
            </w:r>
          </w:p>
        </w:tc>
        <w:tc>
          <w:tcPr>
            <w:tcW w:type="dxa" w:w="468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Stat cards showing Total, Active, and Inactive policy counts. Default landing view of the application.</w:t>
            </w:r>
          </w:p>
        </w:tc>
      </w:tr>
      <w:tr>
        <w:tc>
          <w:tcPr>
            <w:tcW w:type="dxa" w:w="468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Filter, Search &amp; Pagination</w:t>
            </w:r>
          </w:p>
        </w:tc>
        <w:tc>
          <w:tcPr>
            <w:tcW w:type="dxa" w:w="468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Filter dropdowns for type (access_control, data_quality, compliance) and status. Debounced name search. Paginated at 10 records per page.</w:t>
            </w:r>
          </w:p>
        </w:tc>
      </w:tr>
      <w:tr>
        <w:tc>
          <w:tcPr>
            <w:tcW w:type="dxa" w:w="468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Dual-Layer Validation</w:t>
            </w:r>
          </w:p>
        </w:tc>
        <w:tc>
          <w:tcPr>
            <w:tcW w:type="dxa" w:w="468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Client-side form validation in React and independent server-side validation via express-validator before any database write.</w:t>
            </w:r>
          </w:p>
        </w:tc>
      </w:tr>
      <w:tr>
        <w:tc>
          <w:tcPr>
            <w:tcW w:type="dxa" w:w="468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Structured JSON Storage</w:t>
            </w:r>
          </w:p>
        </w:tc>
        <w:tc>
          <w:tcPr>
            <w:tcW w:type="dxa" w:w="468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Policies stored as typed MongoDB documents with enum enforcement on type, action, and status fields. Mongoose auto-manages createdAt / updatedAt timestamps.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hd w:fill="1E3A5F" w:val="clear"/>
        <w:spacing w:after="0" w:before="0"/>
        <w:ind w:left="24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7.  Policy Data Model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Every governance policy is a single MongoDB document with the following top-level fields and nested rule sub-document: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1E3A5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1E3A5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Enum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1E3A5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 (unique, required)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Human-readable policy identifier.</w:t>
            </w:r>
          </w:p>
        </w:tc>
      </w:tr>
      <w:tr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 (optional)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Free-text description of the policy's purpose.</w:t>
            </w:r>
          </w:p>
        </w:tc>
      </w:tr>
      <w:tr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access_control | data_quality | compliance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Governance domain taxonomy.</w:t>
            </w:r>
          </w:p>
        </w:tc>
      </w:tr>
      <w:tr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rule.logic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AND | OR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Logical combinator applied across all conditions.</w:t>
            </w:r>
          </w:p>
        </w:tc>
      </w:tr>
      <w:tr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rule.conditions[]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Array of { field, operator, value }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One or more conditions forming the compound rule expression.</w:t>
            </w:r>
          </w:p>
        </w:tc>
      </w:tr>
      <w:tr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action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allow | deny | alert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Enforcement action when the rule evaluates to true.</w:t>
            </w:r>
          </w:p>
        </w:tc>
      </w:tr>
      <w:tr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active | inactive (default: active)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Operational state of the policy.</w:t>
            </w:r>
          </w:p>
        </w:tc>
      </w:tr>
      <w:tr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createdAt / updatedAt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Date (auto)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ISO 8601 timestamps managed by Mongoose.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hd w:fill="1E3A5F" w:val="clear"/>
        <w:spacing w:after="0" w:before="0"/>
        <w:ind w:left="24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8. 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80"/>
        <w:gridCol w:w="4480"/>
      </w:tblGrid>
      <w:tr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1E3A5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1E3A5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1E3A5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Usage</w:t>
            </w:r>
          </w:p>
        </w:tc>
      </w:tr>
      <w:tr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React.js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Functional components, Hooks, Context API, React Router v6</w:t>
            </w:r>
          </w:p>
        </w:tc>
      </w:tr>
      <w:tr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UI Styling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Utility-first responsive design; no custom CSS required</w:t>
            </w:r>
          </w:p>
        </w:tc>
      </w:tr>
      <w:tr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Axios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Promise-based API calls; response interceptor for envelope unwrapping</w:t>
            </w:r>
          </w:p>
        </w:tc>
      </w:tr>
      <w:tr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Node.js 18+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Backend Runtime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Server-side JavaScript; async I/O; npm ecosystem</w:t>
            </w:r>
          </w:p>
        </w:tc>
      </w:tr>
      <w:tr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Express.js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Web Framework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REST routing; middleware stack; Controller–Service–Model pattern</w:t>
            </w:r>
          </w:p>
        </w:tc>
      </w:tr>
      <w:tr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express-validator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Payload Validation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Middleware-based server-side validation and sanitisation</w:t>
            </w:r>
          </w:p>
        </w:tc>
      </w:tr>
      <w:tr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MongoDB 6+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Document Database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Nested JSON document storage; schema-free flexibility</w:t>
            </w:r>
          </w:p>
        </w:tc>
      </w:tr>
      <w:tr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Mongoose 7+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ODM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Schema definition, enum constraints, timestamps, compound indexes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hd w:fill="1E3A5F" w:val="clear"/>
        <w:spacing w:after="0" w:before="0"/>
        <w:ind w:left="24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9.  Literature Context &amp; Research Gap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 survey of existing governance and access control systems identifies a consistent pattern: as policy expressiveness increases, the technical expertise required to author policies increases commensurately, systematically excluding the non-technical stakeholders who are the primary governance custodians.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80"/>
        <w:gridCol w:w="4480"/>
      </w:tblGrid>
      <w:tr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1E3A5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Existing System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1E3A5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1E3A5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This Project Addresses It</w:t>
            </w:r>
          </w:p>
        </w:tc>
      </w:tr>
      <w:tr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RBAC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Static role-permission bindings; no context-sensitive conditions; role explosion at scale.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Rule Builder supports multi-attribute compound conditions with AND / OR logic.</w:t>
            </w:r>
          </w:p>
        </w:tc>
      </w:tr>
      <w:tr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ABAC / XACML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XML verbosity; steep learning curve; no visual authoring; complex deployment.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Visual form-based authoring generates structured JSON — no XML or specialist language needed.</w:t>
            </w:r>
          </w:p>
        </w:tc>
      </w:tr>
      <w:tr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Drools / IBM ODM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Requires DRL / BAL expertise; heavyweight Java infrastructure; overengineered for typical governance use cases.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Lightweight Node.js stack; zero-code authoring; browser-only operation.</w:t>
            </w:r>
          </w:p>
        </w:tc>
      </w:tr>
      <w:tr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Apache Atlas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Tightly coupled to Hadoop ecosystem; not visual; no support for general web applications.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Technology-agnostic REST API; any platform can consume policies as JSON.</w:t>
            </w:r>
          </w:p>
        </w:tc>
      </w:tr>
      <w:tr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Collibra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Documents governance intent in natural language; no machine-executable rule evaluation.</w:t>
            </w:r>
          </w:p>
        </w:tc>
        <w:tc>
          <w:tcPr>
            <w:tcW w:type="dxa" w:w="312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Policies are machine-evaluable JSON objects, bridging documentation and enforcement.</w:t>
            </w:r>
          </w:p>
        </w:tc>
      </w:tr>
    </w:tbl>
    <w:p>
      <w:pPr>
        <w:spacing w:after="80" w:before="8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The proposed system occupies a unique position: it combines structural rigour (validated, machine-readable rule objects) with genuine accessibility (visual, code-free authoring) — a combination not available in any existing open solution.</w:t>
      </w:r>
    </w:p>
    <w:p>
      <w:pPr>
        <w:spacing w:after="60" w:before="60"/>
      </w:pPr>
      <w:r>
        <w:t xml:space="preserve"/>
      </w:r>
    </w:p>
    <w:p>
      <w:pPr>
        <w:pStyle w:val="Heading1"/>
        <w:shd w:fill="1E3A5F" w:val="clear"/>
        <w:spacing w:after="0" w:before="0"/>
        <w:ind w:left="24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10.  Future Scope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Live Policy Evaluation Engine — runtime evaluation of incoming requests against active policies with allow / deny / alert responses.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Role-Based Access Control for the UI — Admin and Viewer roles with scoped permissions.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Policy Version History and Audit Logs — immutable trail of all create, edit, delete, and toggle events.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Export Policies as JSON or PDF — bulk export for sharing and compliance reporting.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Email / Webhook Alerts on Trigger — notifications on deny or alert action evaluation.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Multi-Tenant Support — team-scoped policy isolation for enterprise deployments.</w:t>
      </w:r>
    </w:p>
    <w:p>
      <w:pPr>
        <w:spacing w:after="60" w:before="60"/>
      </w:pPr>
      <w:r>
        <w:t xml:space="preserve"/>
      </w:r>
    </w:p>
    <w:p>
      <w:pPr>
        <w:pStyle w:val="Heading1"/>
        <w:shd w:fill="1E3A5F" w:val="clear"/>
        <w:spacing w:after="0" w:before="0"/>
        <w:ind w:left="24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Conclusion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The Policy Definition and Management System delivers a full-stack governance platform that democratises policy authorship. By abstracting the complexity of rule-based policy expression behind an intuitive visual interface, the system enables compliance officers, data stewards, and governance administrators to define and manage machine-readable governance policies directly — without writing a single line of code.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The system combines the structural rigour of a validated, schema-enforced policy model with the accessibility of a React-based visual Rule Builder, the scalability of a RESTful Node.js API, and the flexibility of a MongoDB document store. It directly addresses the usability, accessibility, integration, and dynamic policy creation gaps documented in the governance tooling literature, and provides Rubiscape with a production-ready policy management layer ready for integration with a live evaluation engine in subsequent releases.</w:t>
      </w:r>
    </w:p>
    <w:p>
      <w:pPr>
        <w:spacing w:after="60" w:before="6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— End of Synopsis —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0" w:sz="4" w:space="2"/>
      </w:pBdr>
      <w:tabs>
        <w:tab w:val="right" w:pos="9360"/>
      </w:tabs>
    </w:pPr>
    <w:r>
      <w:rPr>
        <w:rFonts w:ascii="Arial" w:cs="Arial" w:eastAsia="Arial" w:hAnsi="Arial"/>
        <w:color w:val="444444"/>
        <w:sz w:val="17"/>
        <w:szCs w:val="17"/>
      </w:rPr>
      <w:t xml:space="preserve">Shripad Rathod · Atharv Mandhare  |  Guide: Prof. Manisha Mali</w:t>
    </w:r>
    <w:r>
      <w:rPr>
        <w:rFonts w:ascii="Arial" w:cs="Arial" w:eastAsia="Arial" w:hAnsi="Arial"/>
        <w:sz w:val="17"/>
        <w:szCs w:val="17"/>
      </w:rPr>
      <w:t xml:space="preserve">	</w:t>
    </w:r>
    <w:r>
      <w:rPr>
        <w:rFonts w:ascii="Arial" w:cs="Arial" w:eastAsia="Arial" w:hAnsi="Arial"/>
        <w:color w:val="444444"/>
        <w:sz w:val="17"/>
        <w:szCs w:val="17"/>
      </w:rPr>
      <w:t xml:space="preserve">Page </w:t>
    </w:r>
    <w:r>
      <w:rPr>
        <w:rFonts w:ascii="Arial" w:cs="Arial" w:eastAsia="Arial" w:hAnsi="Arial"/>
        <w:color w:val="444444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4F0" w:sz="4" w:space="2"/>
      </w:pBdr>
      <w:tabs>
        <w:tab w:val="right" w:pos="9360"/>
      </w:tabs>
    </w:pPr>
    <w:r>
      <w:rPr>
        <w:rFonts w:ascii="Arial" w:cs="Arial" w:eastAsia="Arial" w:hAnsi="Arial"/>
        <w:color w:val="2C6E8A"/>
        <w:sz w:val="17"/>
        <w:szCs w:val="17"/>
      </w:rPr>
      <w:t xml:space="preserve">Policy Definition and Management System  |  Rubiscape</w:t>
    </w:r>
    <w:r>
      <w:rPr>
        <w:rFonts w:ascii="Arial" w:cs="Arial" w:eastAsia="Arial" w:hAnsi="Arial"/>
        <w:sz w:val="17"/>
        <w:szCs w:val="17"/>
      </w:rPr>
      <w:t xml:space="preserve">	</w:t>
    </w:r>
    <w:r>
      <w:rPr>
        <w:rFonts w:ascii="Arial" w:cs="Arial" w:eastAsia="Arial" w:hAnsi="Arial"/>
        <w:i/>
        <w:iCs/>
        <w:color w:val="444444"/>
        <w:sz w:val="17"/>
        <w:szCs w:val="17"/>
      </w:rPr>
      <w:t xml:space="preserve">Synopsis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–"/>
      <w:lvlJc w:val="left"/>
      <w:pPr>
        <w:ind w:left="9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0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C6E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2026-05-28T06:07:12.065Z</dcterms:created>
  <dcterms:modified xsi:type="dcterms:W3CDTF">2026-05-28T06:07:12.078Z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