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00" w:before="200"/>
        <w:jc w:val="center"/>
      </w:pPr>
      <w:r>
        <w:rPr>
          <w:rFonts w:ascii="Arial" w:cs="Arial" w:eastAsia="Arial" w:hAnsi="Arial"/>
          <w:b/>
          <w:bCs/>
          <w:color w:val="1F3864"/>
          <w:sz w:val="52"/>
          <w:szCs w:val="52"/>
        </w:rPr>
        <w:t xml:space="preserve">Policy Definition and</w:t>
      </w:r>
    </w:p>
    <w:p>
      <w:pPr>
        <w:spacing w:after="100" w:before="200"/>
        <w:jc w:val="center"/>
      </w:pPr>
      <w:r>
        <w:rPr>
          <w:rFonts w:ascii="Arial" w:cs="Arial" w:eastAsia="Arial" w:hAnsi="Arial"/>
          <w:b/>
          <w:bCs/>
          <w:color w:val="1F3864"/>
          <w:sz w:val="52"/>
          <w:szCs w:val="52"/>
        </w:rPr>
        <w:t xml:space="preserve">Management System</w:t>
      </w:r>
    </w:p>
    <w:p>
      <w:pPr>
        <w:spacing w:after="240" w:before="60"/>
        <w:jc w:val="center"/>
      </w:pPr>
      <w:r>
        <w:rPr>
          <w:rFonts w:ascii="Arial" w:cs="Arial" w:eastAsia="Arial" w:hAnsi="Arial"/>
          <w:b/>
          <w:bCs/>
          <w:color w:val="2E75B6"/>
          <w:sz w:val="36"/>
          <w:szCs w:val="36"/>
        </w:rPr>
        <w:t xml:space="preserve">with Rule-Based Governance UI</w:t>
      </w:r>
    </w:p>
    <w:p>
      <w:pPr>
        <w:pBdr>
          <w:bottom w:val="single" w:color="2E75B6" w:sz="8" w:space="6"/>
        </w:pBdr>
        <w:spacing w:after="240" w:before="0"/>
        <w:jc w:val="center"/>
      </w:pPr>
      <w:r>
        <w:t xml:space="preserve"/>
      </w:r>
    </w:p>
    <w:p>
      <w:pPr>
        <w:spacing w:after="0" w:before="0"/>
      </w:pPr>
      <w:r>
        <w:t xml:space="preserve"/>
      </w:r>
    </w:p>
    <w:p>
      <w:pPr>
        <w:spacing w:after="60" w:before="60"/>
        <w:jc w:val="center"/>
      </w:pPr>
      <w:r>
        <w:rPr>
          <w:rFonts w:ascii="Arial" w:cs="Arial" w:eastAsia="Arial" w:hAnsi="Arial"/>
          <w:color w:val="1F3864"/>
          <w:sz w:val="32"/>
          <w:szCs w:val="32"/>
        </w:rPr>
        <w:t xml:space="preserve">Literature Survey</w:t>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Arial" w:cs="Arial" w:eastAsia="Arial" w:hAnsi="Arial"/>
          <w:color w:val="2E75B6"/>
          <w:sz w:val="26"/>
          <w:szCs w:val="26"/>
        </w:rPr>
        <w:t xml:space="preserve">Rubiscape Industry Project</w:t>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Arial" w:cs="Arial" w:eastAsia="Arial" w:hAnsi="Arial"/>
          <w:color w:val="7F7F7F"/>
          <w:sz w:val="20"/>
          <w:szCs w:val="20"/>
        </w:rPr>
        <w:t xml:space="preserve">Domain: Data Governance &amp; Enterprise Systems</w:t>
      </w:r>
    </w:p>
    <w:p>
      <w:pPr>
        <w:spacing w:after="60" w:before="60"/>
        <w:jc w:val="center"/>
      </w:pPr>
      <w:r>
        <w:rPr>
          <w:rFonts w:ascii="Arial" w:cs="Arial" w:eastAsia="Arial" w:hAnsi="Arial"/>
          <w:color w:val="7F7F7F"/>
          <w:sz w:val="20"/>
          <w:szCs w:val="20"/>
        </w:rPr>
        <w:t xml:space="preserve">Technology Stack: Node.js · MongoDB · React · REST API</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60" w:before="360"/>
      </w:pPr>
      <w:r>
        <w:rPr>
          <w:rFonts w:ascii="Arial" w:cs="Arial" w:eastAsia="Arial" w:hAnsi="Arial"/>
          <w:b/>
          <w:bCs/>
          <w:color w:val="1F3864"/>
          <w:sz w:val="32"/>
          <w:szCs w:val="32"/>
        </w:rPr>
        <w:t xml:space="preserve">1.  Introduction</w:t>
      </w:r>
    </w:p>
    <w:p>
      <w:pPr>
        <w:spacing w:after="160" w:before="0"/>
        <w:ind w:firstLine="720"/>
        <w:jc w:val="both"/>
      </w:pPr>
      <w:r>
        <w:rPr>
          <w:rFonts w:ascii="Arial" w:cs="Arial" w:eastAsia="Arial" w:hAnsi="Arial"/>
          <w:color w:val="1A1A1A"/>
          <w:sz w:val="24"/>
          <w:szCs w:val="24"/>
        </w:rPr>
        <w:t xml:space="preserve">The proliferation of digital systems across enterprises, public institutions, and cloud platforms has made policy management a foundational requirement of modern information architecture. Governance policies — structured directives that define permissible interactions between users, data assets, and system resources — are now indispensable instruments for enforcing organisational compliance, maintaining data integrity, and mitigating security exposure. As regulatory landscapes grow increasingly demanding, with frameworks such as the General Data Protection Regulation (GDPR), the Health Insurance Portability and Accountability Act (HIPAA), and ISO/IEC 27001 mandating demonstrable governance controls, organisations can no longer rely on manual or ad hoc policy enforcement. A principled, automated approach to policy definition and management has become a prerequisite rather than a luxury.</w:t>
      </w:r>
    </w:p>
    <w:p>
      <w:pPr>
        <w:spacing w:after="160" w:before="0"/>
        <w:ind w:firstLine="720"/>
        <w:jc w:val="both"/>
      </w:pPr>
      <w:r>
        <w:rPr>
          <w:rFonts w:ascii="Arial" w:cs="Arial" w:eastAsia="Arial" w:hAnsi="Arial"/>
          <w:color w:val="1A1A1A"/>
          <w:sz w:val="24"/>
          <w:szCs w:val="24"/>
        </w:rPr>
        <w:t xml:space="preserve">Policy enforcement in enterprise data environments addresses a diverse set of concerns: access control, data quality assurance, compliance adherence, and audit accountability. Traditionally, these concerns have been addressed in isolation, each served by a separate, often rigid system that requires considerable technical expertise to configure and maintain. The emergence of rule-based governance systems, which encode organisational intent as machine-evaluable logical expressions, offers a more unified and flexible alternative. By representing policies as structured rule objects — composed of conditions, logical operators, and enforcement actions — such systems bridge the gap between high-level governance intent and low-level system behaviour.</w:t>
      </w:r>
    </w:p>
    <w:p>
      <w:pPr>
        <w:spacing w:after="160" w:before="0"/>
        <w:ind w:firstLine="720"/>
        <w:jc w:val="both"/>
      </w:pPr>
      <w:r>
        <w:rPr>
          <w:rFonts w:ascii="Arial" w:cs="Arial" w:eastAsia="Arial" w:hAnsi="Arial"/>
          <w:color w:val="1A1A1A"/>
          <w:sz w:val="24"/>
          <w:szCs w:val="24"/>
        </w:rPr>
        <w:t xml:space="preserve">The proposed system, developed as an industry project for Rubiscape, a data governance platform, addresses these challenges directly. It provides a full-stack web-based interface through which administrators can define, manage, activate, and monitor governance policies without writing a single line of code. Policies are expressed as structured rule objects in the form: { logic: 'AND' | 'OR', conditions: [{ field, operator, value }], action: 'allow' | 'deny' | 'alert' }. This formulation is both human-readable and machine-evaluable, enabling dynamic policy creation through a visual Rule Builder interface while maintaining strict backend validation and structured persistence in a document-oriented database. This literature survey reviews the academic and industrial context within which this system is situated, surveys existing solutions, identifies their limitations, and articulates the research gap that this project addresses.</w:t>
      </w:r>
    </w:p>
    <w:p>
      <w:pPr>
        <w:spacing w:after="0" w:before="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2.  Review of Existing Systems and Technologies</w:t>
      </w:r>
    </w:p>
    <w:p>
      <w:pPr>
        <w:pStyle w:val="Heading2"/>
        <w:spacing w:after="120" w:before="280"/>
      </w:pPr>
      <w:r>
        <w:rPr>
          <w:rFonts w:ascii="Arial" w:cs="Arial" w:eastAsia="Arial" w:hAnsi="Arial"/>
          <w:b/>
          <w:bCs/>
          <w:color w:val="2E75B6"/>
          <w:sz w:val="26"/>
          <w:szCs w:val="26"/>
        </w:rPr>
        <w:t xml:space="preserve">2.1  Access Control Models</w:t>
      </w:r>
    </w:p>
    <w:p>
      <w:pPr>
        <w:pStyle w:val="Heading3"/>
        <w:spacing w:after="80" w:before="200"/>
      </w:pPr>
      <w:r>
        <w:rPr>
          <w:rFonts w:ascii="Arial" w:cs="Arial" w:eastAsia="Arial" w:hAnsi="Arial"/>
          <w:b/>
          <w:bCs/>
          <w:i/>
          <w:iCs/>
          <w:color w:val="4A4A4A"/>
          <w:sz w:val="24"/>
          <w:szCs w:val="24"/>
        </w:rPr>
        <w:t xml:space="preserve">2.1.1  Role-Based Access Control (RBAC)</w:t>
      </w:r>
    </w:p>
    <w:p>
      <w:pPr>
        <w:spacing w:after="160" w:before="0"/>
        <w:ind w:firstLine="720"/>
        <w:jc w:val="both"/>
      </w:pPr>
      <w:r>
        <w:rPr>
          <w:rFonts w:ascii="Arial" w:cs="Arial" w:eastAsia="Arial" w:hAnsi="Arial"/>
          <w:color w:val="1A1A1A"/>
          <w:sz w:val="24"/>
          <w:szCs w:val="24"/>
        </w:rPr>
        <w:t xml:space="preserve">Role-Based Access Control, first formally articulated by Ferraiolo and Kuhn (1992) and later standardised in NIST SP 800-53, is among the most widely deployed access control paradigms in enterprise systems. The foundational principle of RBAC is the assignment of permissions to roles, and the subsequent assignment of roles to users. Access decisions are thus mediated by role membership rather than individual identity, which reduces administrative overhead and enforces the principle of least privilege. RBAC's strengths lie in its simplicity, auditability, and widespread tooling support across operating systems, databases, and directory services.</w:t>
      </w:r>
    </w:p>
    <w:p>
      <w:pPr>
        <w:spacing w:after="160" w:before="0"/>
        <w:ind w:firstLine="720"/>
        <w:jc w:val="both"/>
      </w:pPr>
      <w:r>
        <w:rPr>
          <w:rFonts w:ascii="Arial" w:cs="Arial" w:eastAsia="Arial" w:hAnsi="Arial"/>
          <w:color w:val="1A1A1A"/>
          <w:sz w:val="24"/>
          <w:szCs w:val="24"/>
        </w:rPr>
        <w:t xml:space="preserve">However, RBAC exhibits significant limitations in dynamic, context-sensitive environments. Because access rights are bound statically to roles, the model struggles to accommodate fine-grained access decisions that depend on resource attributes, environmental conditions, or temporal constraints. For instance, a policy such as 'allow access to financial records only during business hours and only when the user is within the corporate network' cannot be expressed naturally in a pure RBAC system without creating an unwieldy proliferation of roles. This role explosion problem is well-documented in the literature (Joshi et al., 2005) and represents a fundamental scalability constraint of the model.</w:t>
      </w:r>
    </w:p>
    <w:p>
      <w:pPr>
        <w:pStyle w:val="Heading3"/>
        <w:spacing w:after="80" w:before="200"/>
      </w:pPr>
      <w:r>
        <w:rPr>
          <w:rFonts w:ascii="Arial" w:cs="Arial" w:eastAsia="Arial" w:hAnsi="Arial"/>
          <w:b/>
          <w:bCs/>
          <w:i/>
          <w:iCs/>
          <w:color w:val="4A4A4A"/>
          <w:sz w:val="24"/>
          <w:szCs w:val="24"/>
        </w:rPr>
        <w:t xml:space="preserve">2.1.2  Attribute-Based Access Control (ABAC)</w:t>
      </w:r>
    </w:p>
    <w:p>
      <w:pPr>
        <w:spacing w:after="160" w:before="0"/>
        <w:ind w:firstLine="720"/>
        <w:jc w:val="both"/>
      </w:pPr>
      <w:r>
        <w:rPr>
          <w:rFonts w:ascii="Arial" w:cs="Arial" w:eastAsia="Arial" w:hAnsi="Arial"/>
          <w:color w:val="1A1A1A"/>
          <w:sz w:val="24"/>
          <w:szCs w:val="24"/>
        </w:rPr>
        <w:t xml:space="preserve">Attribute-Based Access Control, formalised by the NIST in SP 800-162, extends the RBAC paradigm by basing access decisions on attributes — arbitrary properties associated with subjects, objects, actions, and the environment. A policy in an ABAC system takes the form of a logical predicate over these attributes, enabling the expression of highly contextual and fine-grained access rules. ABAC is exemplified in NIST's proposed standard and has been adopted in cloud computing platforms, healthcare information systems, and government data repositories.</w:t>
      </w:r>
    </w:p>
    <w:p>
      <w:pPr>
        <w:spacing w:after="160" w:before="0"/>
        <w:ind w:firstLine="720"/>
        <w:jc w:val="both"/>
      </w:pPr>
      <w:r>
        <w:rPr>
          <w:rFonts w:ascii="Arial" w:cs="Arial" w:eastAsia="Arial" w:hAnsi="Arial"/>
          <w:color w:val="1A1A1A"/>
          <w:sz w:val="24"/>
          <w:szCs w:val="24"/>
        </w:rPr>
        <w:t xml:space="preserve">The primary advantage of ABAC over RBAC is its expressive power; virtually any access control requirement can be encoded as a combination of attribute conditions. Nevertheless, this expressiveness comes at a cost. ABAC systems are notoriously complex to design, deploy, and audit. Attribute management — ensuring that all relevant attributes are available, accurate, and timely — is a significant operational challenge. Moreover, the evaluation of complex attribute-based policies at runtime introduces latency, and the absence of intuitive tooling for policy authorship means that ABAC deployment typically demands specialised security engineers. For non-technical administrators, the cognitive overhead of defining ABAC policies is prohibitively high.</w:t>
      </w:r>
    </w:p>
    <w:p>
      <w:pPr>
        <w:spacing w:after="0" w:before="0"/>
      </w:pPr>
      <w:r>
        <w:t xml:space="preserve"/>
      </w:r>
    </w:p>
    <w:p>
      <w:pPr>
        <w:pStyle w:val="Heading2"/>
        <w:spacing w:after="120" w:before="280"/>
      </w:pPr>
      <w:r>
        <w:rPr>
          <w:rFonts w:ascii="Arial" w:cs="Arial" w:eastAsia="Arial" w:hAnsi="Arial"/>
          <w:b/>
          <w:bCs/>
          <w:color w:val="2E75B6"/>
          <w:sz w:val="26"/>
          <w:szCs w:val="26"/>
        </w:rPr>
        <w:t xml:space="preserve">2.2  Policy Specification Frameworks</w:t>
      </w:r>
    </w:p>
    <w:p>
      <w:pPr>
        <w:pStyle w:val="Heading3"/>
        <w:spacing w:after="80" w:before="200"/>
      </w:pPr>
      <w:r>
        <w:rPr>
          <w:rFonts w:ascii="Arial" w:cs="Arial" w:eastAsia="Arial" w:hAnsi="Arial"/>
          <w:b/>
          <w:bCs/>
          <w:i/>
          <w:iCs/>
          <w:color w:val="4A4A4A"/>
          <w:sz w:val="24"/>
          <w:szCs w:val="24"/>
        </w:rPr>
        <w:t xml:space="preserve">2.2.1  XACML — eXtensible Access Control Markup Language</w:t>
      </w:r>
    </w:p>
    <w:p>
      <w:pPr>
        <w:spacing w:after="160" w:before="0"/>
        <w:ind w:firstLine="720"/>
        <w:jc w:val="both"/>
      </w:pPr>
      <w:r>
        <w:rPr>
          <w:rFonts w:ascii="Arial" w:cs="Arial" w:eastAsia="Arial" w:hAnsi="Arial"/>
          <w:color w:val="1A1A1A"/>
          <w:sz w:val="24"/>
          <w:szCs w:val="24"/>
        </w:rPr>
        <w:t xml:space="preserve">The eXtensible Access Control Markup Language (XACML), maintained by the OASIS standards consortium, is the most prominent XML-based policy specification language for access control in distributed systems. XACML provides a rich vocabulary for expressing policies, policy sets, and rules, including support for combining algorithms (permit-overrides, deny-overrides, first-applicable), environmental conditions, and obligation expressions. Its Policy Decision Point (PDP) and Policy Enforcement Point (PEP) architecture cleanly separates policy evaluation from enforcement, which supports system modularity and interoperability.</w:t>
      </w:r>
    </w:p>
    <w:p>
      <w:pPr>
        <w:spacing w:after="160" w:before="0"/>
        <w:ind w:firstLine="720"/>
        <w:jc w:val="both"/>
      </w:pPr>
      <w:r>
        <w:rPr>
          <w:rFonts w:ascii="Arial" w:cs="Arial" w:eastAsia="Arial" w:hAnsi="Arial"/>
          <w:color w:val="1A1A1A"/>
          <w:sz w:val="24"/>
          <w:szCs w:val="24"/>
        </w:rPr>
        <w:t xml:space="preserve">Despite its architectural elegance, XACML is widely criticised for its complexity. The verbosity of XML-based policy definitions makes authoring and maintenance labour-intensive; even simple policies can require hundreds of lines of schema-conformant XML. Studies evaluating XACML adoption in practice (Kolovski et al., 2007) have found that the steep learning curve deters adoption outside of specialised security domains. Furthermore, XACML's reliance on XML serialisation makes it poorly suited to modern API-first architectures, where JSON is the lingua franca of data interchange. The absence of a visual authoring interface in standard XACML tooling further restricts its accessibility to non-technical users.</w:t>
      </w:r>
    </w:p>
    <w:p>
      <w:pPr>
        <w:spacing w:after="0" w:before="0"/>
      </w:pPr>
      <w:r>
        <w:t xml:space="preserve"/>
      </w:r>
    </w:p>
    <w:p>
      <w:pPr>
        <w:pStyle w:val="Heading2"/>
        <w:spacing w:after="120" w:before="280"/>
      </w:pPr>
      <w:r>
        <w:rPr>
          <w:rFonts w:ascii="Arial" w:cs="Arial" w:eastAsia="Arial" w:hAnsi="Arial"/>
          <w:b/>
          <w:bCs/>
          <w:color w:val="2E75B6"/>
          <w:sz w:val="26"/>
          <w:szCs w:val="26"/>
        </w:rPr>
        <w:t xml:space="preserve">2.3  Rule Engines and Business Rule Management Systems</w:t>
      </w:r>
    </w:p>
    <w:p>
      <w:pPr>
        <w:pStyle w:val="Heading3"/>
        <w:spacing w:after="80" w:before="200"/>
      </w:pPr>
      <w:r>
        <w:rPr>
          <w:rFonts w:ascii="Arial" w:cs="Arial" w:eastAsia="Arial" w:hAnsi="Arial"/>
          <w:b/>
          <w:bCs/>
          <w:i/>
          <w:iCs/>
          <w:color w:val="4A4A4A"/>
          <w:sz w:val="24"/>
          <w:szCs w:val="24"/>
        </w:rPr>
        <w:t xml:space="preserve">2.3.1  Drools</w:t>
      </w:r>
    </w:p>
    <w:p>
      <w:pPr>
        <w:spacing w:after="160" w:before="0"/>
        <w:ind w:firstLine="720"/>
        <w:jc w:val="both"/>
      </w:pPr>
      <w:r>
        <w:rPr>
          <w:rFonts w:ascii="Arial" w:cs="Arial" w:eastAsia="Arial" w:hAnsi="Arial"/>
          <w:color w:val="1A1A1A"/>
          <w:sz w:val="24"/>
          <w:szCs w:val="24"/>
        </w:rPr>
        <w:t xml:space="preserve">Drools, developed by Red Hat and now maintained as part of the KIE (Knowledge is Everything) platform, is one of the most sophisticated open-source Business Rule Management Systems (BRMS) available. Drools implements the Rete algorithm — an efficient pattern-matching algorithm for applying production rules over working memory — and provides a comprehensive ecosystem including a rule language (DRL), a decision table interface, and a web-based workbench (Business Central). Its forward-chaining inference engine enables complex, stateful rule evaluation and is widely used in financial services, healthcare, and telecommunications.</w:t>
      </w:r>
    </w:p>
    <w:p>
      <w:pPr>
        <w:spacing w:after="160" w:before="0"/>
        <w:ind w:firstLine="720"/>
        <w:jc w:val="both"/>
      </w:pPr>
      <w:r>
        <w:rPr>
          <w:rFonts w:ascii="Arial" w:cs="Arial" w:eastAsia="Arial" w:hAnsi="Arial"/>
          <w:color w:val="1A1A1A"/>
          <w:sz w:val="24"/>
          <w:szCs w:val="24"/>
        </w:rPr>
        <w:t xml:space="preserve">Drools is architecturally powerful but introduces substantial operational complexity. Deployment requires knowledge of Java, the Drools Rule Language, and the KIE ecosystem. Integrating Drools with a modern web application demands non-trivial infrastructure. The Business Central workbench, while providing a graphical interface for rule authoring, is optimised for domain experts with a working understanding of formal rule modelling and is not designed for casual administrators. Furthermore, Drools is a heavyweight solution — appropriate for high-throughput, stateful rule evaluation scenarios — but overengineered for typical governance policy management use cases where policies are evaluated relatively infrequently and the rule sets are modest in size.</w:t>
      </w:r>
    </w:p>
    <w:p>
      <w:pPr>
        <w:pStyle w:val="Heading3"/>
        <w:spacing w:after="80" w:before="200"/>
      </w:pPr>
      <w:r>
        <w:rPr>
          <w:rFonts w:ascii="Arial" w:cs="Arial" w:eastAsia="Arial" w:hAnsi="Arial"/>
          <w:b/>
          <w:bCs/>
          <w:i/>
          <w:iCs/>
          <w:color w:val="4A4A4A"/>
          <w:sz w:val="24"/>
          <w:szCs w:val="24"/>
        </w:rPr>
        <w:t xml:space="preserve">2.3.2  Business Rule Management Systems — General Landscape</w:t>
      </w:r>
    </w:p>
    <w:p>
      <w:pPr>
        <w:spacing w:after="160" w:before="0"/>
        <w:ind w:firstLine="720"/>
        <w:jc w:val="both"/>
      </w:pPr>
      <w:r>
        <w:rPr>
          <w:rFonts w:ascii="Arial" w:cs="Arial" w:eastAsia="Arial" w:hAnsi="Arial"/>
          <w:color w:val="1A1A1A"/>
          <w:sz w:val="24"/>
          <w:szCs w:val="24"/>
        </w:rPr>
        <w:t xml:space="preserve">Beyond Drools, the BRMS landscape includes commercial platforms such as IBM Operational Decision Manager (ODM), FICO Blaze Advisor, and Pegasystems Decision Management. These platforms typically provide structured authoring environments, version control, audit trails, and integration with enterprise middleware. IBM ODM, for instance, supports both decision tables and natural language rule authoring via its Business Action Language (BAL), which is intended to lower the technical barrier for rule definition. However, enterprise BRMS platforms are expensive, require dedicated infrastructure, and carry significant vendor lock-in risk. Their configuration and administration demand specialist skills that are not readily available in all organisations, particularly in smaller enterprises or emerging technology companies.</w:t>
      </w:r>
    </w:p>
    <w:p>
      <w:pPr>
        <w:spacing w:after="0" w:before="0"/>
      </w:pPr>
      <w:r>
        <w:t xml:space="preserve"/>
      </w:r>
    </w:p>
    <w:p>
      <w:pPr>
        <w:pStyle w:val="Heading2"/>
        <w:spacing w:after="120" w:before="280"/>
      </w:pPr>
      <w:r>
        <w:rPr>
          <w:rFonts w:ascii="Arial" w:cs="Arial" w:eastAsia="Arial" w:hAnsi="Arial"/>
          <w:b/>
          <w:bCs/>
          <w:color w:val="2E75B6"/>
          <w:sz w:val="26"/>
          <w:szCs w:val="26"/>
        </w:rPr>
        <w:t xml:space="preserve">2.4  Data Governance Platforms</w:t>
      </w:r>
    </w:p>
    <w:p>
      <w:pPr>
        <w:pStyle w:val="Heading3"/>
        <w:spacing w:after="80" w:before="200"/>
      </w:pPr>
      <w:r>
        <w:rPr>
          <w:rFonts w:ascii="Arial" w:cs="Arial" w:eastAsia="Arial" w:hAnsi="Arial"/>
          <w:b/>
          <w:bCs/>
          <w:i/>
          <w:iCs/>
          <w:color w:val="4A4A4A"/>
          <w:sz w:val="24"/>
          <w:szCs w:val="24"/>
        </w:rPr>
        <w:t xml:space="preserve">2.4.1  Apache Atlas</w:t>
      </w:r>
    </w:p>
    <w:p>
      <w:pPr>
        <w:spacing w:after="160" w:before="0"/>
        <w:ind w:firstLine="720"/>
        <w:jc w:val="both"/>
      </w:pPr>
      <w:r>
        <w:rPr>
          <w:rFonts w:ascii="Arial" w:cs="Arial" w:eastAsia="Arial" w:hAnsi="Arial"/>
          <w:color w:val="1A1A1A"/>
          <w:sz w:val="24"/>
          <w:szCs w:val="24"/>
        </w:rPr>
        <w:t xml:space="preserve">Apache Atlas is an open-source data governance and metadata management framework originally developed for the Hadoop ecosystem. Atlas provides metadata cataloguing, classification, lineage tracking, and policy management capabilities for big data environments. Its policy engine supports tag-based access control, allowing data assets to be tagged with classification labels (e.g., PII, CONFIDENTIAL) and policies to be defined against those classifications. Apache Ranger, often deployed alongside Atlas, provides enforcement of these policies across Hadoop components including HDFS, Hive, and HBase.</w:t>
      </w:r>
    </w:p>
    <w:p>
      <w:pPr>
        <w:spacing w:after="160" w:before="0"/>
        <w:ind w:firstLine="720"/>
        <w:jc w:val="both"/>
      </w:pPr>
      <w:r>
        <w:rPr>
          <w:rFonts w:ascii="Arial" w:cs="Arial" w:eastAsia="Arial" w:hAnsi="Arial"/>
          <w:color w:val="1A1A1A"/>
          <w:sz w:val="24"/>
          <w:szCs w:val="24"/>
        </w:rPr>
        <w:t xml:space="preserve">While Apache Atlas represents a mature solution for Hadoop-centric data governance, its scope is tightly coupled to the Hadoop ecosystem. Deploying Atlas outside of this context requires considerable customisation effort. The user interface, while functional, is oriented towards data engineers and platform administrators rather than general business users. Policy definition in Atlas is declarative but not visual; users must navigate complex catalogue hierarchies and classification schemas to construct governance rules, which presents a significant usability barrier.</w:t>
      </w:r>
    </w:p>
    <w:p>
      <w:pPr>
        <w:pStyle w:val="Heading3"/>
        <w:spacing w:after="80" w:before="200"/>
      </w:pPr>
      <w:r>
        <w:rPr>
          <w:rFonts w:ascii="Arial" w:cs="Arial" w:eastAsia="Arial" w:hAnsi="Arial"/>
          <w:b/>
          <w:bCs/>
          <w:i/>
          <w:iCs/>
          <w:color w:val="4A4A4A"/>
          <w:sz w:val="24"/>
          <w:szCs w:val="24"/>
        </w:rPr>
        <w:t xml:space="preserve">2.4.2  Collibra</w:t>
      </w:r>
    </w:p>
    <w:p>
      <w:pPr>
        <w:spacing w:after="160" w:before="0"/>
        <w:ind w:firstLine="720"/>
        <w:jc w:val="both"/>
      </w:pPr>
      <w:r>
        <w:rPr>
          <w:rFonts w:ascii="Arial" w:cs="Arial" w:eastAsia="Arial" w:hAnsi="Arial"/>
          <w:color w:val="1A1A1A"/>
          <w:sz w:val="24"/>
          <w:szCs w:val="24"/>
        </w:rPr>
        <w:t xml:space="preserve">Collibra is a leading commercial data governance platform that provides capabilities for data catalogue management, policy documentation, stewardship workflows, and compliance reporting. Its policy management module allows organisations to document governance policies in a structured format, associate them with data assets and business terms, and track their enforcement status. Collibra's strength lies in its integration of technical governance controls with business context, enabling data stewards and governance officers to collaborate on policy definition within a single platform.</w:t>
      </w:r>
    </w:p>
    <w:p>
      <w:pPr>
        <w:spacing w:after="160" w:before="0"/>
        <w:ind w:firstLine="720"/>
        <w:jc w:val="both"/>
      </w:pPr>
      <w:r>
        <w:rPr>
          <w:rFonts w:ascii="Arial" w:cs="Arial" w:eastAsia="Arial" w:hAnsi="Arial"/>
          <w:color w:val="1A1A1A"/>
          <w:sz w:val="24"/>
          <w:szCs w:val="24"/>
        </w:rPr>
        <w:t xml:space="preserve">However, Collibra's policy management capabilities are primarily oriented towards documentation and organisational workflow rather than machine-executable rule evaluation. Policies in Collibra are expressed in natural language or semi-structured text and are not directly evaluated against system events or data access requests. This distinction is significant: a policy that states 'access to personal data should be restricted to authorised personnel' is a governance intent, but it does not, by itself, constitute an enforcement mechanism. The gap between policy documentation and policy enforcement remains a persistent challenge in the Collibra paradigm.</w:t>
      </w:r>
    </w:p>
    <w:p>
      <w:pPr>
        <w:spacing w:after="0" w:before="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3.  Comparative Analysis</w:t>
      </w:r>
    </w:p>
    <w:p>
      <w:pPr>
        <w:spacing w:after="160" w:before="0"/>
        <w:ind w:firstLine="720"/>
        <w:jc w:val="both"/>
      </w:pPr>
      <w:r>
        <w:rPr>
          <w:rFonts w:ascii="Arial" w:cs="Arial" w:eastAsia="Arial" w:hAnsi="Arial"/>
          <w:color w:val="1A1A1A"/>
          <w:sz w:val="24"/>
          <w:szCs w:val="24"/>
        </w:rPr>
        <w:t xml:space="preserve">A systematic comparison of the reviewed approaches reveals distinct trade-offs across the dimensions of flexibility, scalability, complexity, and usability. RBAC excels in simplicity and administrative tractability in stable, hierarchical organisational structures but fails to accommodate the contextual, multi-attribute decisions required by contemporary data governance requirements. ABAC provides the expressive power necessary for fine-grained, context-sensitive policies but imposes significant complexity at both the design and operational levels, restricting its effective adoption to organisations with dedicated security expertise.</w:t>
      </w:r>
    </w:p>
    <w:p>
      <w:pPr>
        <w:spacing w:after="160" w:before="0"/>
        <w:ind w:firstLine="720"/>
        <w:jc w:val="both"/>
      </w:pPr>
      <w:r>
        <w:rPr>
          <w:rFonts w:ascii="Arial" w:cs="Arial" w:eastAsia="Arial" w:hAnsi="Arial"/>
          <w:color w:val="1A1A1A"/>
          <w:sz w:val="24"/>
          <w:szCs w:val="24"/>
        </w:rPr>
        <w:t xml:space="preserve">Rule-based governance systems — including XACML and BRMS platforms such as Drools — occupy an intermediate position. They offer greater flexibility than RBAC by enabling the expression of compound conditions over arbitrary attributes, while providing more structured semantics than ad hoc scripting. However, their complexity remains a significant barrier to adoption. XACML's XML verbosity and BRMS platforms' reliance on specialised languages and tooling both presuppose technical expertise that is unrealistic to expect from governance administrators. The usability deficit across all reviewed systems is a consistent pattern: as policy expressiveness increases, the technical sophistication required to author policies increases commensurately, alienating the non-technical users who are often the primary stakeholders in governance processes.</w:t>
      </w:r>
    </w:p>
    <w:p>
      <w:pPr>
        <w:spacing w:after="160" w:before="0"/>
        <w:ind w:firstLine="720"/>
        <w:jc w:val="both"/>
      </w:pPr>
      <w:r>
        <w:rPr>
          <w:rFonts w:ascii="Arial" w:cs="Arial" w:eastAsia="Arial" w:hAnsi="Arial"/>
          <w:color w:val="1A1A1A"/>
          <w:sz w:val="24"/>
          <w:szCs w:val="24"/>
        </w:rPr>
        <w:t xml:space="preserve">Data governance platforms such as Apache Atlas and Collibra address the organisational and metadata management dimensions of governance effectively but do not bridge the gap between policy documentation and machine-executable rule evaluation. They excel in cataloguing and stewardship workflows but do not provide a mechanism for administrators to define enforcement logic without engineering support. This gap — between governance intent and automated enforcement — is the central challenge that rule-based governance UI systems are positioned to address.</w:t>
      </w:r>
    </w:p>
    <w:p>
      <w:pPr>
        <w:spacing w:after="0" w:before="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4.  Identified Limitations in Existing Systems</w:t>
      </w:r>
    </w:p>
    <w:p>
      <w:pPr>
        <w:spacing w:after="160" w:before="0"/>
        <w:ind w:firstLine="720"/>
        <w:jc w:val="both"/>
      </w:pPr>
      <w:r>
        <w:rPr>
          <w:rFonts w:ascii="Arial" w:cs="Arial" w:eastAsia="Arial" w:hAnsi="Arial"/>
          <w:color w:val="1A1A1A"/>
          <w:sz w:val="24"/>
          <w:szCs w:val="24"/>
        </w:rPr>
        <w:t xml:space="preserve">The review of existing systems reveals several recurrent and interrelated limitations that constrain their effectiveness in contemporary governance contexts. First, the complexity of rule definition in established systems is a persistent barrier. Whether expressed in XACML's verbose XML schema, Drools' proprietary DRL syntax, or IBM ODM's Business Action Language, the authorship of governance policies demands familiarity with specialised languages and formal modelling techniques. This complexity effectively restricts policy management to a small population of technical specialists, creating bottlenecks in governance workflows and reducing organisational agility.</w:t>
      </w:r>
    </w:p>
    <w:p>
      <w:pPr>
        <w:spacing w:after="160" w:before="0"/>
        <w:ind w:firstLine="720"/>
        <w:jc w:val="both"/>
      </w:pPr>
      <w:r>
        <w:rPr>
          <w:rFonts w:ascii="Arial" w:cs="Arial" w:eastAsia="Arial" w:hAnsi="Arial"/>
          <w:color w:val="1A1A1A"/>
          <w:sz w:val="24"/>
          <w:szCs w:val="24"/>
        </w:rPr>
        <w:t xml:space="preserve">Second, the lack of user-friendly interfaces across the reviewed systems is a significant structural deficiency. While some platforms provide graphical authoring tools — notably Business Central in the Drools ecosystem and Collibra's web interface — these interfaces are designed for domain experts rather than general administrative users. They presuppose familiarity with the underlying data model and policy semantics, and do not provide intuitive, self-explanatory mechanisms for constructing compound conditional rules. The cognitive distance between administrative intent and interface affordance remains large.</w:t>
      </w:r>
    </w:p>
    <w:p>
      <w:pPr>
        <w:spacing w:after="160" w:before="0"/>
        <w:ind w:firstLine="720"/>
        <w:jc w:val="both"/>
      </w:pPr>
      <w:r>
        <w:rPr>
          <w:rFonts w:ascii="Arial" w:cs="Arial" w:eastAsia="Arial" w:hAnsi="Arial"/>
          <w:color w:val="1A1A1A"/>
          <w:sz w:val="24"/>
          <w:szCs w:val="24"/>
        </w:rPr>
        <w:t xml:space="preserve">Third, existing systems exhibit a dependency on deep technical expertise that is neither realistic nor sustainable for many organisations. Deploying and maintaining an XACML-compliant policy decision infrastructure, a Drools-based BRMS, or an Apache Atlas cluster requires engineering resources that may be disproportionate to the governance requirements of smaller organisations or teams managing specific data products. This dependency concentrates governance capability in technical teams and undermines the participatory governance model increasingly advocated in data management literature.</w:t>
      </w:r>
    </w:p>
    <w:p>
      <w:pPr>
        <w:spacing w:after="160" w:before="0"/>
        <w:ind w:firstLine="720"/>
        <w:jc w:val="both"/>
      </w:pPr>
      <w:r>
        <w:rPr>
          <w:rFonts w:ascii="Arial" w:cs="Arial" w:eastAsia="Arial" w:hAnsi="Arial"/>
          <w:color w:val="1A1A1A"/>
          <w:sz w:val="24"/>
          <w:szCs w:val="24"/>
        </w:rPr>
        <w:t xml:space="preserve">Fourth, the rigidity of traditional access control models such as RBAC impedes dynamic policy adaptation. As organisational structures evolve, as regulatory requirements change, and as data assets proliferate, static role-permission mappings become increasingly misaligned with operational reality. The administrative overhead of maintaining RBAC role hierarchies in dynamic environments is well-documented, and the resulting role explosion problem fundamentally limits the model's scalability.</w:t>
      </w:r>
    </w:p>
    <w:p>
      <w:pPr>
        <w:spacing w:after="160" w:before="0"/>
        <w:ind w:firstLine="720"/>
        <w:jc w:val="both"/>
      </w:pPr>
      <w:r>
        <w:rPr>
          <w:rFonts w:ascii="Arial" w:cs="Arial" w:eastAsia="Arial" w:hAnsi="Arial"/>
          <w:color w:val="1A1A1A"/>
          <w:sz w:val="24"/>
          <w:szCs w:val="24"/>
        </w:rPr>
        <w:t xml:space="preserve">Fifth, the difficulty of dynamic policy creation — the ability to define, modify, and activate governance rules in response to changing conditions without engineering intervention — is a limitation shared by virtually all reviewed systems. Most existing platforms treat policy definition as an infrequent, engineering-led activity rather than an ongoing administrative function. This assumption is increasingly untenable in data-intensive organisations where governance requirements evolve continuously in response to regulatory changes, new data sources, and emerging business requirements.</w:t>
      </w:r>
    </w:p>
    <w:p>
      <w:pPr>
        <w:spacing w:after="0" w:before="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5.  Research Gap</w:t>
      </w:r>
    </w:p>
    <w:p>
      <w:pPr>
        <w:spacing w:after="160" w:before="0"/>
        <w:ind w:firstLine="720"/>
        <w:jc w:val="both"/>
      </w:pPr>
      <w:r>
        <w:rPr>
          <w:rFonts w:ascii="Arial" w:cs="Arial" w:eastAsia="Arial" w:hAnsi="Arial"/>
          <w:color w:val="1A1A1A"/>
          <w:sz w:val="24"/>
          <w:szCs w:val="24"/>
        </w:rPr>
        <w:t xml:space="preserve">The survey of existing systems identifies a clear and consequential research gap at the intersection of rule-based governance, user interface design, and system accessibility. Despite the maturity of access control theory and the availability of capable rule engines and governance platforms, no widely adopted open system provides a cohesive, accessible, and technically rigorous solution for dynamic policy definition by non-technical administrators.</w:t>
      </w:r>
    </w:p>
    <w:p>
      <w:pPr>
        <w:spacing w:after="160" w:before="0"/>
        <w:ind w:firstLine="720"/>
        <w:jc w:val="both"/>
      </w:pPr>
      <w:r>
        <w:rPr>
          <w:rFonts w:ascii="Arial" w:cs="Arial" w:eastAsia="Arial" w:hAnsi="Arial"/>
          <w:color w:val="1A1A1A"/>
          <w:sz w:val="24"/>
          <w:szCs w:val="24"/>
        </w:rPr>
        <w:t xml:space="preserve">Specifically, the gap manifests in four dimensions. First, there is a pronounced lack of visual rule builder interfaces that enable non-technical users to construct compound conditional policies through direct manipulation rather than code or configuration syntax. While visual rule authoring has been explored in the business process management domain, its application to data governance policy management remains underdeveloped. Second, the absence of integrated, full-stack systems that couple a visual policy authoring interface with a structured, machine-evaluable rule representation and a robust backend validation and persistence layer constitutes a significant gap in the current tooling landscape.</w:t>
      </w:r>
    </w:p>
    <w:p>
      <w:pPr>
        <w:spacing w:after="160" w:before="0"/>
        <w:ind w:firstLine="720"/>
        <w:jc w:val="both"/>
      </w:pPr>
      <w:r>
        <w:rPr>
          <w:rFonts w:ascii="Arial" w:cs="Arial" w:eastAsia="Arial" w:hAnsi="Arial"/>
          <w:color w:val="1A1A1A"/>
          <w:sz w:val="24"/>
          <w:szCs w:val="24"/>
        </w:rPr>
        <w:t xml:space="preserve">Third, existing systems do not adequately address the integration challenge between user interface affordance and rule engine semantics. Bridging the conceptual distance between a business user's governance intent and the formal representation required for machine evaluation typically requires manual engineering effort, introducing latency, error, and dependency on specialised expertise. A system that performs this bridging automatically — translating visual interface interactions into structured, validated rule objects — would represent a meaningful contribution to the field.</w:t>
      </w:r>
    </w:p>
    <w:p>
      <w:pPr>
        <w:spacing w:after="160" w:before="0"/>
        <w:ind w:firstLine="720"/>
        <w:jc w:val="both"/>
      </w:pPr>
      <w:r>
        <w:rPr>
          <w:rFonts w:ascii="Arial" w:cs="Arial" w:eastAsia="Arial" w:hAnsi="Arial"/>
          <w:color w:val="1A1A1A"/>
          <w:sz w:val="24"/>
          <w:szCs w:val="24"/>
        </w:rPr>
        <w:t xml:space="preserve">Fourth, the accessibility gap for non-technical governance stakeholders remains unaddressed. Governance administrators, compliance officers, and data stewards — who are the primary authors and custodians of organisational governance policies — are systematically excluded from the policy authoring process by the technical complexity of existing tools. A system that democratises policy definition, enabling these stakeholders to author, modify, and manage governance rules directly, would align technical capability with governance responsibility in a way that existing systems do not.</w:t>
      </w:r>
    </w:p>
    <w:p>
      <w:pPr>
        <w:spacing w:after="0" w:before="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6.  Justification of the Proposed System</w:t>
      </w:r>
    </w:p>
    <w:p>
      <w:pPr>
        <w:spacing w:after="160" w:before="0"/>
        <w:ind w:firstLine="720"/>
        <w:jc w:val="both"/>
      </w:pPr>
      <w:r>
        <w:rPr>
          <w:rFonts w:ascii="Arial" w:cs="Arial" w:eastAsia="Arial" w:hAnsi="Arial"/>
          <w:color w:val="1A1A1A"/>
          <w:sz w:val="24"/>
          <w:szCs w:val="24"/>
        </w:rPr>
        <w:t xml:space="preserve">The proposed Policy Definition and Management System, developed for the Rubiscape enterprise data platform, directly addresses the research gaps identified above through a combination of design decisions that prioritise usability, structural rigour, and technical accessibility. The system's core contribution is its visual Rule Builder interface, which enables administrators to construct compound conditional policies through an intuitive form-based interaction model. Each condition is defined by selecting a field name, a logical operator (drawn from the standard set: =, !=, &gt;, &lt;, &gt;=, &lt;=, contains), and a target value. Multiple conditions are combined using a user-selected logical connector (AND or OR), and the resulting rule object is displayed in real-time as structured JSON, providing immediate visual feedback and supporting user understanding of the policy semantics.</w:t>
      </w:r>
    </w:p>
    <w:p>
      <w:pPr>
        <w:spacing w:after="160" w:before="0"/>
        <w:ind w:firstLine="720"/>
        <w:jc w:val="both"/>
      </w:pPr>
      <w:r>
        <w:rPr>
          <w:rFonts w:ascii="Arial" w:cs="Arial" w:eastAsia="Arial" w:hAnsi="Arial"/>
          <w:color w:val="1A1A1A"/>
          <w:sz w:val="24"/>
          <w:szCs w:val="24"/>
        </w:rPr>
        <w:t xml:space="preserve">This design directly addresses the usability gap identified in the literature. By abstracting the policy authorship process into a structured form interaction, the system eliminates the requirement for familiarity with specialised rule languages or query syntax. Governance administrators can express complex multi-condition policies through a series of straightforward selections, with the system generating the corresponding structured representation automatically. The live JSON preview serves an educational function as well as a debugging aid, progressively building user familiarity with the underlying data model.</w:t>
      </w:r>
    </w:p>
    <w:p>
      <w:pPr>
        <w:spacing w:after="160" w:before="0"/>
        <w:ind w:firstLine="720"/>
        <w:jc w:val="both"/>
      </w:pPr>
      <w:r>
        <w:rPr>
          <w:rFonts w:ascii="Arial" w:cs="Arial" w:eastAsia="Arial" w:hAnsi="Arial"/>
          <w:color w:val="1A1A1A"/>
          <w:sz w:val="24"/>
          <w:szCs w:val="24"/>
        </w:rPr>
        <w:t xml:space="preserve">The system's layered REST API architecture — comprising a controller layer, a service layer, and a MongoDB-backed model layer — ensures structural rigour and separation of concerns. Governance policies are persisted as typed, validated documents conforming to a well-defined schema that enforces consistency at the data layer. The use of MongoDB's document-oriented storage model accommodates the nested, variable-depth structure of rule objects naturally, without the impedance mismatch that relational schemas would introduce. Backend validation via express-validator provides a second validation layer independent of the frontend, ensuring that the policy store remains consistent even in the event of API misuse.</w:t>
      </w:r>
    </w:p>
    <w:p>
      <w:pPr>
        <w:spacing w:after="160" w:before="0"/>
        <w:ind w:firstLine="720"/>
        <w:jc w:val="both"/>
      </w:pPr>
      <w:r>
        <w:rPr>
          <w:rFonts w:ascii="Arial" w:cs="Arial" w:eastAsia="Arial" w:hAnsi="Arial"/>
          <w:color w:val="1A1A1A"/>
          <w:sz w:val="24"/>
          <w:szCs w:val="24"/>
        </w:rPr>
        <w:t xml:space="preserve">The system's policy model — comprising metadata fields (name, description, type, status), a structured rule object (logic, conditions), and an enforcement action (allow, deny, alert) — is deliberately aligned with established access control semantics while remaining accessible to non-technical users. The type taxonomy (access_control, data_quality, compliance) reflects the dominant governance concerns in enterprise data environments as identified in the literature, and the action vocabulary mirrors the response categories supported by major policy enforcement frameworks. This alignment ensures that policies defined in the system are semantically meaningful and operationally relevant, not merely syntactically valid.</w:t>
      </w:r>
    </w:p>
    <w:p>
      <w:pPr>
        <w:spacing w:after="160" w:before="0"/>
        <w:ind w:firstLine="720"/>
        <w:jc w:val="both"/>
      </w:pPr>
      <w:r>
        <w:rPr>
          <w:rFonts w:ascii="Arial" w:cs="Arial" w:eastAsia="Arial" w:hAnsi="Arial"/>
          <w:color w:val="1A1A1A"/>
          <w:sz w:val="24"/>
          <w:szCs w:val="24"/>
        </w:rPr>
        <w:t xml:space="preserve">In aggregate, the proposed system occupies a distinctive and valuable position in the governance tooling landscape. It combines the structural rigour of formal rule-based policy representation with the accessibility of a visual, form-driven authoring interface; the persistence guarantees of a validated, schema-enforced data model with the flexibility of a document-oriented store; and the scalability of a REST API architecture with the immediacy of a responsive web interface. By addressing the usability, accessibility, integration, and dynamic policy creation gaps identified in the literature, the system makes a substantive contribution to the practical governance of data-intensive enterprise environments.</w:t>
      </w:r>
    </w:p>
    <w:p>
      <w:pPr>
        <w:spacing w:after="0" w:before="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References</w:t>
      </w:r>
    </w:p>
    <w:p>
      <w:pPr>
        <w:spacing w:after="160" w:before="0"/>
        <w:jc w:val="both"/>
      </w:pPr>
      <w:r>
        <w:rPr>
          <w:rFonts w:ascii="Arial" w:cs="Arial" w:eastAsia="Arial" w:hAnsi="Arial"/>
          <w:color w:val="1A1A1A"/>
          <w:sz w:val="24"/>
          <w:szCs w:val="24"/>
        </w:rPr>
        <w:t xml:space="preserve">The following references constitute the foundational academic and technical literature informing this survey.</w:t>
      </w:r>
    </w:p>
    <w:p>
      <w:pPr>
        <w:spacing w:after="0" w:before="0"/>
      </w:pPr>
      <w:r>
        <w:t xml:space="preserve"/>
      </w:r>
    </w:p>
    <w:p>
      <w:pPr>
        <w:spacing w:after="120" w:before="0"/>
        <w:ind w:left="540" w:hanging="540"/>
        <w:jc w:val="both"/>
      </w:pPr>
      <w:r>
        <w:rPr>
          <w:rFonts w:ascii="Arial" w:cs="Arial" w:eastAsia="Arial" w:hAnsi="Arial"/>
          <w:b/>
          <w:bCs/>
          <w:color w:val="2E75B6"/>
          <w:sz w:val="22"/>
          <w:szCs w:val="22"/>
        </w:rPr>
        <w:t xml:space="preserve">[1]  </w:t>
      </w:r>
      <w:r>
        <w:rPr>
          <w:rFonts w:ascii="Arial" w:cs="Arial" w:eastAsia="Arial" w:hAnsi="Arial"/>
          <w:color w:val="4A4A4A"/>
          <w:sz w:val="22"/>
          <w:szCs w:val="22"/>
        </w:rPr>
        <w:t xml:space="preserve">Ferraiolo, D. F., &amp; Kuhn, D. R. (1992). Role-Based Access Control. Proceedings of the 15th National Computer Security Conference, pp. 554–563. National Institute of Standards and Technology.</w:t>
      </w:r>
    </w:p>
    <w:p>
      <w:pPr>
        <w:spacing w:after="120" w:before="0"/>
        <w:ind w:left="540" w:hanging="540"/>
        <w:jc w:val="both"/>
      </w:pPr>
      <w:r>
        <w:rPr>
          <w:rFonts w:ascii="Arial" w:cs="Arial" w:eastAsia="Arial" w:hAnsi="Arial"/>
          <w:b/>
          <w:bCs/>
          <w:color w:val="2E75B6"/>
          <w:sz w:val="22"/>
          <w:szCs w:val="22"/>
        </w:rPr>
        <w:t xml:space="preserve">[2]  </w:t>
      </w:r>
      <w:r>
        <w:rPr>
          <w:rFonts w:ascii="Arial" w:cs="Arial" w:eastAsia="Arial" w:hAnsi="Arial"/>
          <w:color w:val="4A4A4A"/>
          <w:sz w:val="22"/>
          <w:szCs w:val="22"/>
        </w:rPr>
        <w:t xml:space="preserve">National Institute of Standards and Technology. (2013). Guide to Attribute Based Access Control (ABAC) Definition and Considerations. NIST Special Publication 800-162. U.S. Department of Commerce.</w:t>
      </w:r>
    </w:p>
    <w:p>
      <w:pPr>
        <w:spacing w:after="120" w:before="0"/>
        <w:ind w:left="540" w:hanging="540"/>
        <w:jc w:val="both"/>
      </w:pPr>
      <w:r>
        <w:rPr>
          <w:rFonts w:ascii="Arial" w:cs="Arial" w:eastAsia="Arial" w:hAnsi="Arial"/>
          <w:b/>
          <w:bCs/>
          <w:color w:val="2E75B6"/>
          <w:sz w:val="22"/>
          <w:szCs w:val="22"/>
        </w:rPr>
        <w:t xml:space="preserve">[3]  </w:t>
      </w:r>
      <w:r>
        <w:rPr>
          <w:rFonts w:ascii="Arial" w:cs="Arial" w:eastAsia="Arial" w:hAnsi="Arial"/>
          <w:color w:val="4A4A4A"/>
          <w:sz w:val="22"/>
          <w:szCs w:val="22"/>
        </w:rPr>
        <w:t xml:space="preserve">OASIS Standard. (2013). eXtensible Access Control Markup Language (XACML) Version 3.0. OASIS Open. https://docs.oasis-open.org/xacml/3.0/xacml-3.0-core-spec-os-en.html</w:t>
      </w:r>
    </w:p>
    <w:p>
      <w:pPr>
        <w:spacing w:after="120" w:before="0"/>
        <w:ind w:left="540" w:hanging="540"/>
        <w:jc w:val="both"/>
      </w:pPr>
      <w:r>
        <w:rPr>
          <w:rFonts w:ascii="Arial" w:cs="Arial" w:eastAsia="Arial" w:hAnsi="Arial"/>
          <w:b/>
          <w:bCs/>
          <w:color w:val="2E75B6"/>
          <w:sz w:val="22"/>
          <w:szCs w:val="22"/>
        </w:rPr>
        <w:t xml:space="preserve">[4]  </w:t>
      </w:r>
      <w:r>
        <w:rPr>
          <w:rFonts w:ascii="Arial" w:cs="Arial" w:eastAsia="Arial" w:hAnsi="Arial"/>
          <w:color w:val="4A4A4A"/>
          <w:sz w:val="22"/>
          <w:szCs w:val="22"/>
        </w:rPr>
        <w:t xml:space="preserve">Kolovski, V., Hendler, J., &amp; Parsia, B. (2007). Analysing Web Access Control Policies. Proceedings of the 16th International Conference on World Wide Web (WWW '07), pp. 677–686. ACM.</w:t>
      </w:r>
    </w:p>
    <w:p>
      <w:pPr>
        <w:spacing w:after="120" w:before="0"/>
        <w:ind w:left="540" w:hanging="540"/>
        <w:jc w:val="both"/>
      </w:pPr>
      <w:r>
        <w:rPr>
          <w:rFonts w:ascii="Arial" w:cs="Arial" w:eastAsia="Arial" w:hAnsi="Arial"/>
          <w:b/>
          <w:bCs/>
          <w:color w:val="2E75B6"/>
          <w:sz w:val="22"/>
          <w:szCs w:val="22"/>
        </w:rPr>
        <w:t xml:space="preserve">[5]  </w:t>
      </w:r>
      <w:r>
        <w:rPr>
          <w:rFonts w:ascii="Arial" w:cs="Arial" w:eastAsia="Arial" w:hAnsi="Arial"/>
          <w:color w:val="4A4A4A"/>
          <w:sz w:val="22"/>
          <w:szCs w:val="22"/>
        </w:rPr>
        <w:t xml:space="preserve">Joshi, J. B. D., Bhatt, R., &amp; Ghafoor, A. (2005). Formal Permission Derivation and Range-Based Role Hierarchy for Temporal RBAC Model. IEEE Transactions on Knowledge and Data Engineering, 17(2), pp. 159–174.</w:t>
      </w:r>
    </w:p>
    <w:p>
      <w:pPr>
        <w:spacing w:after="120" w:before="0"/>
        <w:ind w:left="540" w:hanging="540"/>
        <w:jc w:val="both"/>
      </w:pPr>
      <w:r>
        <w:rPr>
          <w:rFonts w:ascii="Arial" w:cs="Arial" w:eastAsia="Arial" w:hAnsi="Arial"/>
          <w:b/>
          <w:bCs/>
          <w:color w:val="2E75B6"/>
          <w:sz w:val="22"/>
          <w:szCs w:val="22"/>
        </w:rPr>
        <w:t xml:space="preserve">[6]  </w:t>
      </w:r>
      <w:r>
        <w:rPr>
          <w:rFonts w:ascii="Arial" w:cs="Arial" w:eastAsia="Arial" w:hAnsi="Arial"/>
          <w:color w:val="4A4A4A"/>
          <w:sz w:val="22"/>
          <w:szCs w:val="22"/>
        </w:rPr>
        <w:t xml:space="preserve">European Parliament and Council. (2016). Regulation (EU) 2016/679 — General Data Protection Regulation (GDPR). Official Journal of the European Union, L 119, pp. 1–88.</w:t>
      </w:r>
    </w:p>
    <w:p>
      <w:pPr>
        <w:spacing w:after="120" w:before="0"/>
        <w:ind w:left="540" w:hanging="540"/>
        <w:jc w:val="both"/>
      </w:pPr>
      <w:r>
        <w:rPr>
          <w:rFonts w:ascii="Arial" w:cs="Arial" w:eastAsia="Arial" w:hAnsi="Arial"/>
          <w:b/>
          <w:bCs/>
          <w:color w:val="2E75B6"/>
          <w:sz w:val="22"/>
          <w:szCs w:val="22"/>
        </w:rPr>
        <w:t xml:space="preserve">[7]  </w:t>
      </w:r>
      <w:r>
        <w:rPr>
          <w:rFonts w:ascii="Arial" w:cs="Arial" w:eastAsia="Arial" w:hAnsi="Arial"/>
          <w:color w:val="4A4A4A"/>
          <w:sz w:val="22"/>
          <w:szCs w:val="22"/>
        </w:rPr>
        <w:t xml:space="preserve">Red Hat, Inc. (2023). Drools — Business Rules Management System. KIE Group. Retrieved from https://www.drools.org</w:t>
      </w:r>
    </w:p>
    <w:p>
      <w:pPr>
        <w:spacing w:after="120" w:before="0"/>
        <w:ind w:left="540" w:hanging="540"/>
        <w:jc w:val="both"/>
      </w:pPr>
      <w:r>
        <w:rPr>
          <w:rFonts w:ascii="Arial" w:cs="Arial" w:eastAsia="Arial" w:hAnsi="Arial"/>
          <w:b/>
          <w:bCs/>
          <w:color w:val="2E75B6"/>
          <w:sz w:val="22"/>
          <w:szCs w:val="22"/>
        </w:rPr>
        <w:t xml:space="preserve">[8]  </w:t>
      </w:r>
      <w:r>
        <w:rPr>
          <w:rFonts w:ascii="Arial" w:cs="Arial" w:eastAsia="Arial" w:hAnsi="Arial"/>
          <w:color w:val="4A4A4A"/>
          <w:sz w:val="22"/>
          <w:szCs w:val="22"/>
        </w:rPr>
        <w:t xml:space="preserve">Forgy, C. L. (1982). Rete: A Fast Algorithm for the Many Pattern / Many Object Pattern Match Problem. Artificial Intelligence, 19(1), pp. 17–37.</w:t>
      </w:r>
    </w:p>
    <w:p>
      <w:pPr>
        <w:spacing w:after="0" w:before="0"/>
      </w:pPr>
      <w:r>
        <w:t xml:space="preserve"/>
      </w:r>
    </w:p>
    <w:p>
      <w:pPr>
        <w:spacing w:after="0" w:before="200"/>
        <w:jc w:val="center"/>
      </w:pPr>
      <w:r>
        <w:rPr>
          <w:rFonts w:ascii="Arial" w:cs="Arial" w:eastAsia="Arial" w:hAnsi="Arial"/>
          <w:i/>
          <w:iCs/>
          <w:color w:val="7F7F7F"/>
          <w:sz w:val="20"/>
          <w:szCs w:val="20"/>
        </w:rPr>
        <w:t xml:space="preserve">— End of Literature Survey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80" w:before="0"/>
    </w:pPr>
    <w:r>
      <w:rPr>
        <w:rFonts w:ascii="Arial" w:cs="Arial" w:eastAsia="Arial" w:hAnsi="Arial"/>
        <w:color w:val="7F7F7F"/>
        <w:sz w:val="18"/>
        <w:szCs w:val="18"/>
      </w:rPr>
      <w:t xml:space="preserve">Literature Survey — Policy Definition and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i/>
      <w:i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2026-05-24T12:37:41.763Z</dcterms:created>
  <dcterms:modified xsi:type="dcterms:W3CDTF">2026-05-24T12:37:41.785Z</dcterms:modified>
</cp:coreProperties>
</file>

<file path=docProps/custom.xml><?xml version="1.0" encoding="utf-8"?>
<Properties xmlns="http://schemas.openxmlformats.org/officeDocument/2006/custom-properties" xmlns:vt="http://schemas.openxmlformats.org/officeDocument/2006/docPropsVTypes"/>
</file>