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Black" w:hAnsi="Arial Black"/>
          <w:b/>
          <w:sz w:val="52"/>
        </w:rPr>
        <w:t>CRYPTOVISION AI</w:t>
      </w:r>
    </w:p>
    <w:p>
      <w:r>
        <w:rPr>
          <w:i/>
        </w:rPr>
        <w:t>Cryptocurrency Time Series Intelligence System</w:t>
        <w:br/>
        <w:t>Comprehensive Project Report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Developer</w:t>
            </w:r>
          </w:p>
        </w:tc>
        <w:tc>
          <w:tcPr>
            <w:tcW w:type="dxa" w:w="4320"/>
          </w:tcPr>
          <w:p>
            <w:r>
              <w:t>:  Shriraj Jadhav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GitHub ID</w:t>
            </w:r>
          </w:p>
        </w:tc>
        <w:tc>
          <w:tcPr>
            <w:tcW w:type="dxa" w:w="4320"/>
          </w:tcPr>
          <w:p>
            <w:r>
              <w:t>:  shrirajjadhav5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Live Dashboard</w:t>
            </w:r>
          </w:p>
        </w:tc>
        <w:tc>
          <w:tcPr>
            <w:tcW w:type="dxa" w:w="4320"/>
          </w:tcPr>
          <w:p>
            <w:r>
              <w:t>:  https://shrirajjadhav5.github.io/crypto-timeseries-analysis/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320"/>
          </w:tcPr>
          <w:p>
            <w:r>
              <w:t>:  https://github.com/shrirajjadhav5/crypto-timeseries-analysis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t>:  ARIMA + LSTM + Prophet + Chart.js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4320"/>
          </w:tcPr>
          <w:p>
            <w:r>
              <w:t>:  Yahoo Finance + Kaggle (2021–2024)</w:t>
            </w:r>
          </w:p>
        </w:tc>
      </w:tr>
    </w:tbl>
    <w:p>
      <w:r>
        <w:br/>
      </w:r>
    </w:p>
    <w:p>
      <w:pPr>
        <w:pStyle w:val="Heading1"/>
      </w:pPr>
      <w:r>
        <w:t>1. Executive Summary</w:t>
      </w:r>
    </w:p>
    <w:p>
      <w:r>
        <w:t>CryptoVision AI is an end-to-end analytical system designed to transform volatile cryptocurrency price data into structured forecasting intelligence. The project utilizes a multi-model pipeline—integrating classical statistics (ARIMA), recurrent neural networks (LSTM), and additive models (Prophet)—to predict trends across major digital assets including BTC, ETH, and SOL.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 Solved</w:t>
            </w:r>
          </w:p>
        </w:tc>
        <w:tc>
          <w:tcPr>
            <w:tcW w:type="dxa" w:w="4320"/>
          </w:tcPr>
          <w:p>
            <w:r>
              <w:t>Manual analysis of crypto volatility is slow and inconsistent, lacking predictive power for non-linear trends.</w:t>
            </w:r>
          </w:p>
        </w:tc>
      </w:tr>
      <w:tr>
        <w:tc>
          <w:tcPr>
            <w:tcW w:type="dxa" w:w="4320"/>
          </w:tcPr>
          <w:p>
            <w:r>
              <w:t>Solution</w:t>
            </w:r>
          </w:p>
        </w:tc>
        <w:tc>
          <w:tcPr>
            <w:tcW w:type="dxa" w:w="4320"/>
          </w:tcPr>
          <w:p>
            <w:r>
              <w:t>Automated AI pipeline that extracts data, trains three distinct models, and visualizes risk/return metrics in &lt; 60 seconds.</w:t>
            </w:r>
          </w:p>
        </w:tc>
      </w:tr>
    </w:tbl>
    <w:p>
      <w:pPr>
        <w:pStyle w:val="Heading1"/>
      </w:pPr>
      <w:r>
        <w:t>2. Project Objectives</w:t>
      </w:r>
    </w:p>
    <w:p>
      <w:pPr>
        <w:pStyle w:val="ListBullet"/>
      </w:pPr>
      <w:r>
        <w:t>Automate the extraction and preprocessing of multi-asset OHLCV data.</w:t>
      </w:r>
    </w:p>
    <w:p>
      <w:pPr>
        <w:pStyle w:val="ListBullet"/>
      </w:pPr>
      <w:r>
        <w:t>Implement and compare ARIMA (Linear), LSTM (Deep Learning), and Prophet (Seasonal) models.</w:t>
      </w:r>
    </w:p>
    <w:p>
      <w:pPr>
        <w:pStyle w:val="ListBullet"/>
      </w:pPr>
      <w:r>
        <w:t>Visualize market correlations and volatility clusters using Seaborn and Matplotlib.</w:t>
      </w:r>
    </w:p>
    <w:p>
      <w:pPr>
        <w:pStyle w:val="ListBullet"/>
      </w:pPr>
      <w:r>
        <w:t>Deploy an interactive HTML dashboard for real-time risk assessment.</w:t>
      </w:r>
    </w:p>
    <w:p>
      <w:pPr>
        <w:pStyle w:val="Heading1"/>
      </w:pPr>
      <w:r>
        <w:t>3. Visual Insights</w:t>
      </w:r>
    </w:p>
    <w:p>
      <w:pPr>
        <w:pStyle w:val="Heading2"/>
      </w:pPr>
      <w:r>
        <w:t>3.1 Historical Growth Cycles</w:t>
      </w:r>
    </w:p>
    <w:p>
      <w:r>
        <w:drawing>
          <wp:inline xmlns:a="http://schemas.openxmlformats.org/drawingml/2006/main" xmlns:pic="http://schemas.openxmlformats.org/drawingml/2006/picture">
            <wp:extent cx="4572000" cy="2479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ice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Comparison of normalized growth patterns across primary crypto assets.</w:t>
      </w:r>
    </w:p>
    <w:p>
      <w:pPr>
        <w:pStyle w:val="Heading2"/>
      </w:pPr>
      <w:r>
        <w:t>3.2 Systematic Correlation</w:t>
      </w:r>
    </w:p>
    <w:p>
      <w:r>
        <w:drawing>
          <wp:inline xmlns:a="http://schemas.openxmlformats.org/drawingml/2006/main" xmlns:pic="http://schemas.openxmlformats.org/drawingml/2006/picture">
            <wp:extent cx="4114800" cy="1499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Heatmap showing price movement dependency between BTC, ETH, and Altcoins.</w:t>
      </w:r>
    </w:p>
    <w:p>
      <w:pPr>
        <w:pStyle w:val="Heading1"/>
      </w:pPr>
      <w:r>
        <w:t>4. Technology Stack</w:t>
      </w:r>
    </w:p>
    <w:p>
      <w:pPr>
        <w:pStyle w:val="ListBullet"/>
      </w:pPr>
      <w:r>
        <w:rPr>
          <w:b/>
        </w:rPr>
        <w:t xml:space="preserve">Language: </w:t>
      </w:r>
      <w:r>
        <w:t>Python (Pandas, NumPy, Scikit-learn)</w:t>
      </w:r>
    </w:p>
    <w:p>
      <w:pPr>
        <w:pStyle w:val="ListBullet"/>
      </w:pPr>
      <w:r>
        <w:rPr>
          <w:b/>
        </w:rPr>
        <w:t xml:space="preserve">Modeling: </w:t>
      </w:r>
      <w:r>
        <w:t>TensorFlow/Keras (LSTM), Statsmodels (ARIMA), Prophet</w:t>
      </w:r>
    </w:p>
    <w:p>
      <w:pPr>
        <w:pStyle w:val="ListBullet"/>
      </w:pPr>
      <w:r>
        <w:rPr>
          <w:b/>
        </w:rPr>
        <w:t xml:space="preserve">Visualization: </w:t>
      </w:r>
      <w:r>
        <w:t>Plotly, Chart.js (HTML Dashboard), Matplotlib</w:t>
      </w:r>
    </w:p>
    <w:p>
      <w:pPr>
        <w:pStyle w:val="ListBullet"/>
      </w:pPr>
      <w:r>
        <w:rPr>
          <w:b/>
        </w:rPr>
        <w:t xml:space="preserve">Data Handling: </w:t>
      </w:r>
      <w:r>
        <w:t>CSV, XLSX, Yahoo Finance API</w:t>
      </w:r>
    </w:p>
    <w:p>
      <w:pPr>
        <w:pStyle w:val="Heading1"/>
      </w:pPr>
      <w:r>
        <w:t>5. Forecasting &amp; Predictions</w:t>
      </w:r>
    </w:p>
    <w:p>
      <w:pPr>
        <w:pStyle w:val="Heading2"/>
      </w:pPr>
      <w:r>
        <w:t>5.1 LSTM Deep Learning Predictions</w:t>
      </w:r>
    </w:p>
    <w:p>
      <w:r>
        <w:drawing>
          <wp:inline xmlns:a="http://schemas.openxmlformats.org/drawingml/2006/main" xmlns:pic="http://schemas.openxmlformats.org/drawingml/2006/picture">
            <wp:extent cx="4572000" cy="1750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lstm_forecas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0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LSTM Model identifying non-linear patterns in Bitcoin price action.</w:t>
      </w:r>
    </w:p>
    <w:p>
      <w:pPr>
        <w:pStyle w:val="Heading1"/>
      </w:pPr>
      <w:r>
        <w:t>6. Risk &amp;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Volatility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Sharpe Ratio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Max Drawdown %</w:t>
            </w:r>
          </w:p>
        </w:tc>
      </w:tr>
      <w:tr>
        <w:tc>
          <w:tcPr>
            <w:tcW w:type="dxa" w:w="2160"/>
          </w:tcPr>
          <w:p>
            <w:r>
              <w:t>BTC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0.546</w:t>
            </w:r>
          </w:p>
        </w:tc>
        <w:tc>
          <w:tcPr>
            <w:tcW w:type="dxa" w:w="2160"/>
          </w:tcPr>
          <w:p>
            <w:r>
              <w:t>-0.8%</w:t>
            </w:r>
          </w:p>
        </w:tc>
      </w:tr>
      <w:tr>
        <w:tc>
          <w:tcPr>
            <w:tcW w:type="dxa" w:w="2160"/>
          </w:tcPr>
          <w:p>
            <w:r>
              <w:t>ETH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0.566</w:t>
            </w:r>
          </w:p>
        </w:tc>
        <w:tc>
          <w:tcPr>
            <w:tcW w:type="dxa" w:w="2160"/>
          </w:tcPr>
          <w:p>
            <w:r>
              <w:t>-1.0%</w:t>
            </w:r>
          </w:p>
        </w:tc>
      </w:tr>
      <w:tr>
        <w:tc>
          <w:tcPr>
            <w:tcW w:type="dxa" w:w="2160"/>
          </w:tcPr>
          <w:p>
            <w:r>
              <w:t>SOL</w:t>
            </w:r>
          </w:p>
        </w:tc>
        <w:tc>
          <w:tcPr>
            <w:tcW w:type="dxa" w:w="2160"/>
          </w:tcPr>
          <w:p>
            <w:r>
              <w:t>172.1%</w:t>
            </w:r>
          </w:p>
        </w:tc>
        <w:tc>
          <w:tcPr>
            <w:tcW w:type="dxa" w:w="2160"/>
          </w:tcPr>
          <w:p>
            <w:r>
              <w:t>0.092</w:t>
            </w:r>
          </w:p>
        </w:tc>
        <w:tc>
          <w:tcPr>
            <w:tcW w:type="dxa" w:w="2160"/>
          </w:tcPr>
          <w:p>
            <w:r>
              <w:t>-1.0%</w:t>
            </w:r>
          </w:p>
        </w:tc>
      </w:tr>
      <w:tr>
        <w:tc>
          <w:tcPr>
            <w:tcW w:type="dxa" w:w="2160"/>
          </w:tcPr>
          <w:p>
            <w:r>
              <w:t>BNB</w:t>
            </w:r>
          </w:p>
        </w:tc>
        <w:tc>
          <w:tcPr>
            <w:tcW w:type="dxa" w:w="2160"/>
          </w:tcPr>
          <w:p>
            <w:r>
              <w:t>103.0%</w:t>
            </w:r>
          </w:p>
        </w:tc>
        <w:tc>
          <w:tcPr>
            <w:tcW w:type="dxa" w:w="2160"/>
          </w:tcPr>
          <w:p>
            <w:r>
              <w:t>1.067</w:t>
            </w:r>
          </w:p>
        </w:tc>
        <w:tc>
          <w:tcPr>
            <w:tcW w:type="dxa" w:w="2160"/>
          </w:tcPr>
          <w:p>
            <w:r>
              <w:t>-0.7%</w:t>
            </w:r>
          </w:p>
        </w:tc>
      </w:tr>
      <w:tr>
        <w:tc>
          <w:tcPr>
            <w:tcW w:type="dxa" w:w="2160"/>
          </w:tcPr>
          <w:p>
            <w:r>
              <w:t>ADA</w:t>
            </w:r>
          </w:p>
        </w:tc>
        <w:tc>
          <w:tcPr>
            <w:tcW w:type="dxa" w:w="2160"/>
          </w:tcPr>
          <w:p>
            <w:r>
              <w:t>158.9%</w:t>
            </w:r>
          </w:p>
        </w:tc>
        <w:tc>
          <w:tcPr>
            <w:tcW w:type="dxa" w:w="2160"/>
          </w:tcPr>
          <w:p>
            <w:r>
              <w:t>0.499</w:t>
            </w:r>
          </w:p>
        </w:tc>
        <w:tc>
          <w:tcPr>
            <w:tcW w:type="dxa" w:w="2160"/>
          </w:tcPr>
          <w:p>
            <w:r>
              <w:t>-1.0%</w:t>
            </w:r>
          </w:p>
        </w:tc>
      </w:tr>
    </w:tbl>
    <w:p>
      <w:pPr>
        <w:pStyle w:val="Heading1"/>
      </w:pPr>
      <w:r>
        <w:t>7. Business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Manual Analysis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CryptoVision AI Solution</w:t>
            </w:r>
          </w:p>
        </w:tc>
      </w:tr>
      <w:tr>
        <w:tc>
          <w:tcPr>
            <w:tcW w:type="dxa" w:w="4320"/>
          </w:tcPr>
          <w:p>
            <w:r>
              <w:t>Delayed reaction to volatility</w:t>
            </w:r>
          </w:p>
        </w:tc>
        <w:tc>
          <w:tcPr>
            <w:tcW w:type="dxa" w:w="4320"/>
          </w:tcPr>
          <w:p>
            <w:r>
              <w:t>Immediate risk identification via dashboard</w:t>
            </w:r>
          </w:p>
        </w:tc>
      </w:tr>
      <w:tr>
        <w:tc>
          <w:tcPr>
            <w:tcW w:type="dxa" w:w="4320"/>
          </w:tcPr>
          <w:p>
            <w:r>
              <w:t>Linear-only assumptions</w:t>
            </w:r>
          </w:p>
        </w:tc>
        <w:tc>
          <w:tcPr>
            <w:tcW w:type="dxa" w:w="4320"/>
          </w:tcPr>
          <w:p>
            <w:r>
              <w:t>Hybrid modeling (Linear + Neural Networks)</w:t>
            </w:r>
          </w:p>
        </w:tc>
      </w:tr>
      <w:tr>
        <w:tc>
          <w:tcPr>
            <w:tcW w:type="dxa" w:w="4320"/>
          </w:tcPr>
          <w:p>
            <w:r>
              <w:t>Fragmented data files</w:t>
            </w:r>
          </w:p>
        </w:tc>
        <w:tc>
          <w:tcPr>
            <w:tcW w:type="dxa" w:w="4320"/>
          </w:tcPr>
          <w:p>
            <w:r>
              <w:t>Unified intelligence system for portfolio tracking</w:t>
            </w:r>
          </w:p>
        </w:tc>
      </w:tr>
    </w:tbl>
    <w:p>
      <w:pPr>
        <w:pStyle w:val="Heading1"/>
      </w:pPr>
      <w:r>
        <w:t>8. Conclusion</w:t>
      </w:r>
    </w:p>
    <w:p>
      <w:r>
        <w:t>The CryptoVision AI system successfully demonstrates how modern AI architectures can be applied to financial time-series data. By combining statistical rigor with machine learning adaptability, the project provides a scalable foundation for high-frequency asset analysis and risk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