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212B"/>
          <w:sz w:val="54"/>
        </w:rPr>
        <w:t>DocuEnv — Software Architecture Document</w:t>
      </w:r>
    </w:p>
    <w:p>
      <w:pPr>
        <w:jc w:val="center"/>
      </w:pPr>
      <w:r>
        <w:rPr>
          <w:color w:val="64748B"/>
          <w:sz w:val="22"/>
        </w:rPr>
        <w:t>Project 3 | Version 1.0</w:t>
      </w:r>
    </w:p>
    <w:p/>
    <w:p>
      <w:pPr>
        <w:jc w:val="center"/>
      </w:pPr>
      <w:r>
        <w:rPr>
          <w:b/>
          <w:color w:val="B45309"/>
          <w:sz w:val="24"/>
        </w:rPr>
        <w:t>DOCUENV</w:t>
      </w:r>
    </w:p>
    <w:p>
      <w:r>
        <w:br w:type="page"/>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shd w:fill="E9EEF3"/>
          </w:tcPr>
          <w:p>
            <w:r>
              <w:rPr>
                <w:b/>
              </w:rPr>
              <w:t>Product</w:t>
            </w:r>
          </w:p>
        </w:tc>
        <w:tc>
          <w:tcPr>
            <w:tcW w:type="dxa" w:w="4968"/>
          </w:tcPr>
          <w:p>
            <w:r>
              <w:t>DocuEnv</w:t>
            </w:r>
          </w:p>
        </w:tc>
      </w:tr>
      <w:tr>
        <w:tc>
          <w:tcPr>
            <w:tcW w:type="dxa" w:w="4968"/>
            <w:shd w:fill="E9EEF3"/>
          </w:tcPr>
          <w:p>
            <w:r>
              <w:rPr>
                <w:b/>
              </w:rPr>
              <w:t>Document</w:t>
            </w:r>
          </w:p>
        </w:tc>
        <w:tc>
          <w:tcPr>
            <w:tcW w:type="dxa" w:w="4968"/>
          </w:tcPr>
          <w:p>
            <w:r>
              <w:t>DocuEnv — Software Architecture Document</w:t>
            </w:r>
          </w:p>
        </w:tc>
      </w:tr>
      <w:tr>
        <w:tc>
          <w:tcPr>
            <w:tcW w:type="dxa" w:w="4968"/>
            <w:shd w:fill="E9EEF3"/>
          </w:tcPr>
          <w:p>
            <w:r>
              <w:rPr>
                <w:b/>
              </w:rPr>
              <w:t>Version</w:t>
            </w:r>
          </w:p>
        </w:tc>
        <w:tc>
          <w:tcPr>
            <w:tcW w:type="dxa" w:w="4968"/>
          </w:tcPr>
          <w:p>
            <w:r>
              <w:t>1.0 — Initial MVP specification</w:t>
            </w:r>
          </w:p>
        </w:tc>
      </w:tr>
      <w:tr>
        <w:tc>
          <w:tcPr>
            <w:tcW w:type="dxa" w:w="4968"/>
            <w:shd w:fill="E9EEF3"/>
          </w:tcPr>
          <w:p>
            <w:r>
              <w:rPr>
                <w:b/>
              </w:rPr>
              <w:t>Status</w:t>
            </w:r>
          </w:p>
        </w:tc>
        <w:tc>
          <w:tcPr>
            <w:tcW w:type="dxa" w:w="4968"/>
          </w:tcPr>
          <w:p>
            <w:r>
              <w:t>Working baseline; update as implementation decisions are verified</w:t>
            </w:r>
          </w:p>
        </w:tc>
      </w:tr>
      <w:tr>
        <w:tc>
          <w:tcPr>
            <w:tcW w:type="dxa" w:w="4968"/>
            <w:shd w:fill="E9EEF3"/>
          </w:tcPr>
          <w:p>
            <w:r>
              <w:rPr>
                <w:b/>
              </w:rPr>
              <w:t>Scope</w:t>
            </w:r>
          </w:p>
        </w:tc>
        <w:tc>
          <w:tcPr>
            <w:tcW w:type="dxa" w:w="4968"/>
          </w:tcPr>
          <w:p>
            <w:r>
              <w:t>Client-side MVP; no backend, account system, or cloud persistence</w:t>
            </w:r>
          </w:p>
        </w:tc>
      </w:tr>
    </w:tbl>
    <w:p/>
    <w:p>
      <w:pPr>
        <w:pStyle w:val="Heading1"/>
      </w:pPr>
      <w:r>
        <w:t>1. Architecture Summary</w:t>
      </w:r>
    </w:p>
    <w:p>
      <w:r>
        <w:t>DocuEnv uses a client-only, modular architecture. The browser loads the static application, reads local or pasted text, parses environment entries, computes differences, infers advisory types, and generates output. No backend is needed for the MVP.</w:t>
      </w:r>
    </w:p>
    <w:p>
      <w:r>
        <w:t>Primary architectural priorities are privacy, deterministic business logic, testability, and low operating cost.</w:t>
      </w:r>
    </w:p>
    <w:p>
      <w:pPr>
        <w:pStyle w:val="Heading1"/>
      </w:pPr>
      <w:r>
        <w:t>2. High-Level Components</w:t>
      </w:r>
    </w:p>
    <w:p>
      <w:r>
        <w:t>Presentation layer: input panels, file selection, comparison results, type editor, generated-output tabs, privacy notice, and feedback states.</w:t>
      </w:r>
    </w:p>
    <w:p>
      <w:r>
        <w:t>Application orchestration: coordinates input changes, parsing, comparison, user overrides, and output generation.</w:t>
      </w:r>
    </w:p>
    <w:p>
      <w:r>
        <w:t>Parser module: converts supported .env text into structured entries and diagnostics.</w:t>
      </w:r>
    </w:p>
    <w:p>
      <w:r>
        <w:t>Diff module: compares reference and target key sets and produces missing, extra, present, duplicate, empty, and parse-warning states.</w:t>
      </w:r>
    </w:p>
    <w:p>
      <w:r>
        <w:t>Type inference module: proposes string, integer, boolean, URL, email, and port types using deterministic heuristics.</w:t>
      </w:r>
    </w:p>
    <w:p>
      <w:r>
        <w:t>Contract model: stores key name, requiredness, inferred type, override, and findings without needing original values after inference.</w:t>
      </w:r>
    </w:p>
    <w:p>
      <w:r>
        <w:t>Generator module: emits Zod TypeScript and a CI validation example from the reviewed contract.</w:t>
      </w:r>
    </w:p>
    <w:p>
      <w:r>
        <w:t>Test layer: unit tests for parsing, diffing, inference, and generated output; UI smoke tests where time permits.</w:t>
      </w:r>
    </w:p>
    <w:p>
      <w:pPr>
        <w:pStyle w:val="Heading1"/>
      </w:pPr>
      <w:r>
        <w:t>3. Component Flow</w:t>
      </w:r>
    </w:p>
    <w:p>
      <w:r>
        <w:t>1. User pastes or selects files. 2. Input text is passed to the parser in memory. 3. Parser returns entries plus diagnostics. 4. Diff engine compares key names. 5. Type inference evaluates values locally, unless the user chooses key-only mode. 6. The UI presents findings. 7. User overrides contract settings. 8. Generators produce code from the reviewed contract. 9. User copies or downloads the result.</w:t>
      </w:r>
    </w:p>
    <w:p>
      <w:r>
        <w:t>Values should be discarded from derived UI state as soon as practical if they are not needed. Avoid storing raw configuration in persistent browser storage.</w:t>
      </w:r>
    </w:p>
    <w:p>
      <w:pPr>
        <w:pStyle w:val="Heading1"/>
      </w:pPr>
      <w:r>
        <w:t>4. Data Model</w:t>
      </w:r>
    </w:p>
    <w:p>
      <w:r>
        <w:t>ParsedEntry: key, value (ephemeral local field), source label, line number, duplicate flag, empty-value flag.</w:t>
      </w:r>
    </w:p>
    <w:p>
      <w:r>
        <w:t>ParseDiagnostic: line number, diagnostic code, safe human-readable message.</w:t>
      </w:r>
    </w:p>
    <w:p>
      <w:r>
        <w:t>DiffItem: key, status (missing | extra | present), optional empty/duplicate flags.</w:t>
      </w:r>
    </w:p>
    <w:p>
      <w:r>
        <w:t>VariableContract: key, type (string | number | boolean | url | email | port), required (boolean), source of type (inferred | user), optional description.</w:t>
      </w:r>
    </w:p>
    <w:p>
      <w:r>
        <w:t>GeneratedArtifact: artifact kind, text content, generated-at runtime value. No backend persistence is required.</w:t>
      </w:r>
    </w:p>
    <w:p>
      <w:pPr>
        <w:pStyle w:val="Heading1"/>
      </w:pPr>
      <w:r>
        <w:t>5. Privacy and Security Architecture</w:t>
      </w:r>
    </w:p>
    <w:p>
      <w:r>
        <w:t>All parsing, inference, diffing, and generation run in the browser. No API endpoint receives file contents.</w:t>
      </w:r>
    </w:p>
    <w:p>
      <w:r>
        <w:t>Do not add analytics that capture user input. Do not log raw values to console or error reporting.</w:t>
      </w:r>
    </w:p>
    <w:p>
      <w:r>
        <w:t>Render all user input as text; never insert it as HTML. Do not use eval or Function.</w:t>
      </w:r>
    </w:p>
    <w:p>
      <w:r>
        <w:t>Generated scripts must include key names only where possible and must never embed sample secret values.</w:t>
      </w:r>
    </w:p>
    <w:p>
      <w:r>
        <w:t>Privacy messaging must be accurate: local processing prevents app-server upload, but cannot defend against a compromised browser, malicious extension, or modified client bundle.</w:t>
      </w:r>
    </w:p>
    <w:p>
      <w:r>
        <w:t>Use a Content Security Policy and restrictive external-resource policy if supported by the hosting setup, and avoid unnecessary third-party scripts.</w:t>
      </w:r>
    </w:p>
    <w:p>
      <w:pPr>
        <w:pStyle w:val="Heading1"/>
      </w:pPr>
      <w:r>
        <w:t>6. Suggested Technology Stack</w:t>
      </w:r>
    </w:p>
    <w:p>
      <w:r>
        <w:t>Framework: React with TypeScript using a simple Vite-based setup for a fast static application; alternatively use Next.js only if a project-specific reason exists.</w:t>
      </w:r>
    </w:p>
    <w:p>
      <w:r>
        <w:t>Styling: CSS modules or a carefully constrained utility system with design tokens; avoid adding dependencies without clear value.</w:t>
      </w:r>
    </w:p>
    <w:p>
      <w:r>
        <w:t>Testing: Vitest for unit tests and Testing Library for critical component tests.</w:t>
      </w:r>
    </w:p>
    <w:p>
      <w:r>
        <w:t>Icons: a consistent lightweight icon set, used sparingly.</w:t>
      </w:r>
    </w:p>
    <w:p>
      <w:r>
        <w:t>Deployment: a free static hosting provider such as Cloudflare Pages or Vercel, after checking current plan constraints.</w:t>
      </w:r>
    </w:p>
    <w:p>
      <w:r>
        <w:t>Dependency policy: keep the parser and generation logic independent of UI components so they can be tested in isolation.</w:t>
      </w:r>
    </w:p>
    <w:p>
      <w:pPr>
        <w:pStyle w:val="Heading1"/>
      </w:pPr>
      <w:r>
        <w:t>7. Error and State Management</w:t>
      </w:r>
    </w:p>
    <w:p>
      <w:r>
        <w:t>Represent parse failures as diagnostics rather than uncaught exceptions.</w:t>
      </w:r>
    </w:p>
    <w:p>
      <w:r>
        <w:t>Use explicit UI states: empty, input loaded, parsing, results ready, generation ready, and recoverable error.</w:t>
      </w:r>
    </w:p>
    <w:p>
      <w:r>
        <w:t>Preserve current inputs if a generation or clipboard action fails.</w:t>
      </w:r>
    </w:p>
    <w:p>
      <w:r>
        <w:t>Reset must clear inputs, derived values, type overrides, and generated output.</w:t>
      </w:r>
    </w:p>
    <w:p>
      <w:pPr>
        <w:pStyle w:val="Heading1"/>
      </w:pPr>
      <w:r>
        <w:t>8. Performance and Scalability</w:t>
      </w:r>
    </w:p>
    <w:p>
      <w:r>
        <w:t>For normal .env files, synchronous local parsing should be sufficient. If profiling shows UI blocking with large inputs, move parsing into a Web Worker as a later enhancement.</w:t>
      </w:r>
    </w:p>
    <w:p>
      <w:r>
        <w:t>Use stable keys and memoized derived results only when necessary. Avoid premature architecture or complex state libraries.</w:t>
      </w:r>
    </w:p>
    <w:p>
      <w:r>
        <w:t>Since no server-side state exists, there is no database scaling or queueing concern in the MVP.</w:t>
      </w:r>
    </w:p>
    <w:p>
      <w:pPr>
        <w:pStyle w:val="Heading1"/>
      </w:pPr>
      <w:r>
        <w:t>9. Architecture Decision Records</w:t>
      </w:r>
    </w:p>
    <w:p>
      <w:pPr>
        <w:pStyle w:val="ListBullet"/>
      </w:pPr>
      <w:r>
        <w:t>ADR-01 — Client-only processing: chosen to avoid transmitting secrets and eliminate backend cost. Trade-off: no server-side integrations or shared workspaces.</w:t>
      </w:r>
    </w:p>
    <w:p>
      <w:pPr>
        <w:pStyle w:val="ListBullet"/>
      </w:pPr>
      <w:r>
        <w:t>ADR-02 — Heuristic type inference: chosen for fast setup. Trade-off: inferred types may be wrong and must be reviewable.</w:t>
      </w:r>
    </w:p>
    <w:p>
      <w:pPr>
        <w:pStyle w:val="ListBullet"/>
      </w:pPr>
      <w:r>
        <w:t>ADR-03 — No persistent storage by default: chosen to minimize data retention risk. Trade-off: users re-import files after reload.</w:t>
      </w:r>
    </w:p>
    <w:p>
      <w:pPr>
        <w:pStyle w:val="ListBullet"/>
      </w:pPr>
      <w:r>
        <w:t>ADR-04 — Static deployment: chosen for zero-cost hosting and simple operations. Trade-off: product cannot validate live deployment environments.</w:t>
      </w:r>
    </w:p>
    <w:p>
      <w:pPr>
        <w:pStyle w:val="Heading1"/>
      </w:pPr>
      <w:r>
        <w:t>10. Deployment and Release</w:t>
      </w:r>
    </w:p>
    <w:p>
      <w:r>
        <w:t>Run formatting/linting, unit tests, and production build locally.</w:t>
      </w:r>
    </w:p>
    <w:p>
      <w:r>
        <w:t>Deploy the static app and manually verify import, comparison, type override, generation, copy/download, reset, and mobile layout.</w:t>
      </w:r>
    </w:p>
    <w:p>
      <w:r>
        <w:t>Inspect browser network activity to confirm that configuration text is not transmitted.</w:t>
      </w:r>
    </w:p>
    <w:p>
      <w:r>
        <w:t>Document build commands, supported syntax, privacy model, limitations, and issue-reporting guidance.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Working specification • Update when verified implementation decisions change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DOCUENV  /  PROJECT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B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1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341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1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