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aps/>
          <w:color w:val="E8501A"/>
          <w:sz w:val="20"/>
          <w:szCs w:val="20"/>
        </w:rPr>
        <w:t xml:space="preserve">TECHNICAL APPROVAL REQUEST</w:t>
      </w:r>
    </w:p>
    <w:p>
      <w:pPr>
        <w:spacing w:after="200" w:before="0"/>
        <w:jc w:val="center"/>
      </w:pPr>
      <w:r>
        <w:rPr>
          <w:rFonts w:ascii="Arial" w:cs="Arial" w:eastAsia="Arial" w:hAnsi="Arial"/>
          <w:b/>
          <w:bCs/>
          <w:color w:val="1B3A5C"/>
          <w:sz w:val="44"/>
          <w:szCs w:val="44"/>
        </w:rPr>
        <w:t xml:space="preserve">PII Redaction Library with GLiNER Backend</w:t>
      </w:r>
    </w:p>
    <w:p>
      <w:pPr>
        <w:pBdr>
          <w:bottom w:val="single" w:color="E8501A" w:sz="6" w:space="1"/>
        </w:pBdr>
        <w:spacing w:after="160" w:before="0"/>
      </w:pPr>
      <w: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Prepared by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Data Privacy Engineering Team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Date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April 22, 2026</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Version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1.0 — Initial Approval Request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Scope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Custom PII Redaction Library (Regex + spaCy + GLiNER backends)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Classification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CONFIDENTIAL — Internal Use Only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Approvers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Engineering Lead / Security / Legal / Compliance</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1. Executive Summary</w:t>
      </w:r>
    </w:p>
    <w:p>
      <w:pPr>
        <w:pBdr>
          <w:bottom w:val="single" w:color="2E6DA4" w:sz="6" w:space="1"/>
        </w:pBdr>
        <w:spacing w:after="160" w:before="0"/>
      </w:pPr>
      <w:r>
        <w:t xml:space="preserve"/>
      </w:r>
    </w:p>
    <w:p>
      <w:pPr>
        <w:spacing w:after="120" w:before="80"/>
      </w:pPr>
      <w:r>
        <w:rPr>
          <w:rFonts w:ascii="Arial" w:cs="Arial" w:eastAsia="Arial" w:hAnsi="Arial"/>
          <w:color w:val="111827"/>
          <w:sz w:val="22"/>
          <w:szCs w:val="22"/>
        </w:rPr>
        <w:t xml:space="preserve">This document requests approval to adopt a custom multi-backend PII (Personally Identifiable Information) redaction library into our production data processing pipeline. The library provides three interchangeable backends — pure Regex, spaCy NER, and GLiNER — under a single unified API.</w:t>
      </w:r>
    </w:p>
    <w:p>
      <w:pPr>
        <w:spacing w:after="120" w:before="0"/>
      </w:pPr>
      <w:r>
        <w:t xml:space="preserve"/>
      </w:r>
    </w:p>
    <w:p>
      <w:pPr>
        <w:spacing w:after="120" w:before="80"/>
      </w:pPr>
      <w:r>
        <w:rPr>
          <w:rFonts w:ascii="Arial" w:cs="Arial" w:eastAsia="Arial" w:hAnsi="Arial"/>
          <w:color w:val="111827"/>
          <w:sz w:val="22"/>
          <w:szCs w:val="22"/>
        </w:rPr>
        <w:t xml:space="preserve">Our recommendation is to approve the GLiNER backend as the primary engine. GLiNER is an open-source, zero-shot named-entity recognition model that delivers LLM-grade PII detection accuracy at a fraction of the infrastructure cost, runs entirely on-premises (no external API calls), and requires no labelled training data to recognise new PII categories.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none" w:color="FFFFFF" w:sz="0"/>
              <w:right w:val="single" w:color="2E6DA4" w:sz="1"/>
            </w:tcBorders>
            <w:shd w:fill="D6E8F7" w:val="clear"/>
            <w:tcMar>
              <w:top w:type="dxa" w:w="100"/>
              <w:left w:type="dxa" w:w="160"/>
              <w:bottom w:type="dxa" w:w="40"/>
              <w:right w:type="dxa" w:w="160"/>
            </w:tcMar>
          </w:tcPr>
          <w:p>
            <w:pPr>
              <w:spacing w:after="0" w:before="0"/>
            </w:pPr>
            <w:r>
              <w:rPr>
                <w:rFonts w:ascii="Arial" w:cs="Arial" w:eastAsia="Arial" w:hAnsi="Arial"/>
                <w:b/>
                <w:bCs/>
                <w:color w:val="1B3A5C"/>
                <w:sz w:val="22"/>
                <w:szCs w:val="22"/>
              </w:rPr>
              <w:t xml:space="preserve">Key Outcomes of Approval</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b/>
                <w:bCs/>
                <w:color w:val="2E6DA4"/>
                <w:sz w:val="22"/>
                <w:szCs w:val="22"/>
              </w:rPr>
              <w:t xml:space="preserve">Compliance: </w:t>
            </w:r>
            <w:r>
              <w:rPr>
                <w:rFonts w:ascii="Arial" w:cs="Arial" w:eastAsia="Arial" w:hAnsi="Arial"/>
                <w:color w:val="111827"/>
                <w:sz w:val="22"/>
                <w:szCs w:val="22"/>
              </w:rPr>
              <w:t xml:space="preserve">Achieves GDPR Art. 25, HIPAA Safe Harbor, CCPA §1798.100 de-identification requirements.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b/>
                <w:bCs/>
                <w:color w:val="2E6DA4"/>
                <w:sz w:val="22"/>
                <w:szCs w:val="22"/>
              </w:rPr>
              <w:t xml:space="preserve">Coverage: </w:t>
            </w:r>
            <w:r>
              <w:rPr>
                <w:rFonts w:ascii="Arial" w:cs="Arial" w:eastAsia="Arial" w:hAnsi="Arial"/>
                <w:color w:val="111827"/>
                <w:sz w:val="22"/>
                <w:szCs w:val="22"/>
              </w:rPr>
              <w:t xml:space="preserve">Detects 14+ PII types including structured (SSN, CC, email) and unstructured (names, roles, contextual references).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b/>
                <w:bCs/>
                <w:color w:val="2E6DA4"/>
                <w:sz w:val="22"/>
                <w:szCs w:val="22"/>
              </w:rPr>
              <w:t xml:space="preserve">Cost: </w:t>
            </w:r>
            <w:r>
              <w:rPr>
                <w:rFonts w:ascii="Arial" w:cs="Arial" w:eastAsia="Arial" w:hAnsi="Arial"/>
                <w:color w:val="111827"/>
                <w:sz w:val="22"/>
                <w:szCs w:val="22"/>
              </w:rPr>
              <w:t xml:space="preserve">Zero per-call API cost. Runs on existing CPU infrastructure. Estimated 80% cost reduction vs. cloud PII APIs.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b/>
                <w:bCs/>
                <w:color w:val="2E6DA4"/>
                <w:sz w:val="22"/>
                <w:szCs w:val="22"/>
              </w:rPr>
              <w:t xml:space="preserve">Risk: </w:t>
            </w:r>
            <w:r>
              <w:rPr>
                <w:rFonts w:ascii="Arial" w:cs="Arial" w:eastAsia="Arial" w:hAnsi="Arial"/>
                <w:color w:val="111827"/>
                <w:sz w:val="22"/>
                <w:szCs w:val="22"/>
              </w:rPr>
              <w:t xml:space="preserve">Model runs on-premise. No PII transmitted externally. Full audit trail with confidence scores.</w:t>
            </w:r>
          </w:p>
        </w:tc>
      </w:tr>
      <w:tr>
        <w:tc>
          <w:tcPr>
            <w:tcW w:type="dxa" w:w="9360"/>
            <w:tcBorders>
              <w:top w:val="none" w:color="FFFFFF" w:sz="0"/>
              <w:left w:val="single" w:color="2E6DA4" w:sz="1"/>
              <w:bottom w:val="single" w:color="2E6DA4" w:sz="1"/>
              <w:right w:val="single" w:color="2E6DA4" w:sz="1"/>
            </w:tcBorders>
            <w:shd w:fill="D6E8F7" w:val="clear"/>
            <w:tcMar>
              <w:top w:type="dxa" w:w="20"/>
              <w:left w:type="dxa" w:w="160"/>
              <w:bottom w:type="dxa" w:w="100"/>
              <w:right w:type="dxa" w:w="160"/>
            </w:tcMar>
          </w:tcPr>
          <w:p>
            <w:pPr>
              <w:spacing w:after="0" w:before="0"/>
            </w:pPr>
            <w:r>
              <w:rPr>
                <w:rFonts w:ascii="Arial" w:cs="Arial" w:eastAsia="Arial" w:hAnsi="Arial"/>
                <w:b/>
                <w:bCs/>
                <w:color w:val="2E6DA4"/>
                <w:sz w:val="22"/>
                <w:szCs w:val="22"/>
              </w:rPr>
              <w:t xml:space="preserve">Speed: </w:t>
            </w:r>
            <w:r>
              <w:rPr>
                <w:rFonts w:ascii="Arial" w:cs="Arial" w:eastAsia="Arial" w:hAnsi="Arial"/>
                <w:color w:val="111827"/>
                <w:sz w:val="22"/>
                <w:szCs w:val="22"/>
              </w:rPr>
              <w:t xml:space="preserve">P95 latency &lt; 80 ms per document on standard 4-core CPU; regex-only path &lt; 2 ms.</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2. Problem Statement</w:t>
      </w:r>
    </w:p>
    <w:p>
      <w:pPr>
        <w:pBdr>
          <w:bottom w:val="single" w:color="2E6DA4" w:sz="6" w:space="1"/>
        </w:pBdr>
        <w:spacing w:after="160" w:before="0"/>
      </w:pPr>
      <w:r>
        <w:t xml:space="preserve"/>
      </w:r>
    </w:p>
    <w:p>
      <w:pPr>
        <w:spacing w:after="120" w:before="80"/>
      </w:pPr>
      <w:r>
        <w:rPr>
          <w:rFonts w:ascii="Arial" w:cs="Arial" w:eastAsia="Arial" w:hAnsi="Arial"/>
          <w:color w:val="111827"/>
          <w:sz w:val="22"/>
          <w:szCs w:val="22"/>
        </w:rPr>
        <w:t xml:space="preserve">Our systems handle significant volumes of user-generated text, support tickets, medical notes, financial records, and HR documents — all of which may contain sensitive personal information. We currently have no systematic mechanism to detect and redact PII before data is written to analytics stores, shared with third-party services, or surfaced in dashboards.</w:t>
      </w:r>
    </w:p>
    <w:p>
      <w:pPr>
        <w:spacing w:after="120" w:before="0"/>
      </w:pPr>
      <w:r>
        <w:t xml:space="preserve"/>
      </w:r>
    </w:p>
    <w:p>
      <w:pPr>
        <w:spacing w:after="120" w:before="80"/>
      </w:pPr>
      <w:r>
        <w:rPr>
          <w:rFonts w:ascii="Arial" w:cs="Arial" w:eastAsia="Arial" w:hAnsi="Arial"/>
          <w:color w:val="111827"/>
          <w:sz w:val="22"/>
          <w:szCs w:val="22"/>
        </w:rPr>
        <w:t xml:space="preserve">This creates three categories of risk: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Risk Category</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Regulatory Exposure</w:t>
            </w:r>
          </w:p>
        </w:tc>
        <w:tc>
          <w:tcPr>
            <w:tcW w:type="dxa" w:w="5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Potential Impact</w:t>
            </w:r>
          </w:p>
        </w:tc>
      </w:tr>
      <w:tr>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left"/>
            </w:pPr>
            <w:r>
              <w:rPr>
                <w:rFonts w:ascii="Arial" w:cs="Arial" w:eastAsia="Arial" w:hAnsi="Arial"/>
                <w:b/>
                <w:bCs/>
                <w:color w:val="991B1B"/>
                <w:sz w:val="20"/>
                <w:szCs w:val="20"/>
              </w:rPr>
              <w:t xml:space="preserve">Data Breach</w:t>
            </w:r>
          </w:p>
        </w:tc>
        <w:tc>
          <w:tcPr>
            <w:tcW w:type="dxa" w:w="2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B45309"/>
                <w:sz w:val="20"/>
                <w:szCs w:val="20"/>
              </w:rPr>
              <w:t xml:space="preserve">GDPR, CCPA, HIPAA</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Fines up to 4% global annual revenue (GDPR). Class action liability. Reputational damage.</w:t>
            </w:r>
          </w:p>
        </w:tc>
      </w:tr>
      <w:tr>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left"/>
            </w:pPr>
            <w:r>
              <w:rPr>
                <w:rFonts w:ascii="Arial" w:cs="Arial" w:eastAsia="Arial" w:hAnsi="Arial"/>
                <w:b/>
                <w:bCs/>
                <w:color w:val="991B1B"/>
                <w:sz w:val="20"/>
                <w:szCs w:val="20"/>
              </w:rPr>
              <w:t xml:space="preserve">Insider Misuse</w:t>
            </w:r>
          </w:p>
        </w:tc>
        <w:tc>
          <w:tcPr>
            <w:tcW w:type="dxa" w:w="2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B45309"/>
                <w:sz w:val="20"/>
                <w:szCs w:val="20"/>
              </w:rPr>
              <w:t xml:space="preserve">SOX, PCI-DSS</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Employees with analytics access can view raw PII in logs, dashboards, and export files.</w:t>
            </w:r>
          </w:p>
        </w:tc>
      </w:tr>
      <w:tr>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left"/>
            </w:pPr>
            <w:r>
              <w:rPr>
                <w:rFonts w:ascii="Arial" w:cs="Arial" w:eastAsia="Arial" w:hAnsi="Arial"/>
                <w:b/>
                <w:bCs/>
                <w:color w:val="991B1B"/>
                <w:sz w:val="20"/>
                <w:szCs w:val="20"/>
              </w:rPr>
              <w:t xml:space="preserve">Third-Party Leakage</w:t>
            </w:r>
          </w:p>
        </w:tc>
        <w:tc>
          <w:tcPr>
            <w:tcW w:type="dxa" w:w="2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B45309"/>
                <w:sz w:val="20"/>
                <w:szCs w:val="20"/>
              </w:rPr>
              <w:t xml:space="preserve">GDPR Art. 28, CCPA</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PII shared with SaaS vendors without DPA agreements may constitute unlawful processing.</w:t>
            </w:r>
          </w:p>
        </w:tc>
      </w:tr>
      <w:tr>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left"/>
            </w:pPr>
            <w:r>
              <w:rPr>
                <w:rFonts w:ascii="Arial" w:cs="Arial" w:eastAsia="Arial" w:hAnsi="Arial"/>
                <w:b/>
                <w:bCs/>
                <w:color w:val="991B1B"/>
                <w:sz w:val="20"/>
                <w:szCs w:val="20"/>
              </w:rPr>
              <w:t xml:space="preserve">AI Training Risk</w:t>
            </w:r>
          </w:p>
        </w:tc>
        <w:tc>
          <w:tcPr>
            <w:tcW w:type="dxa" w:w="24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B45309"/>
                <w:sz w:val="20"/>
                <w:szCs w:val="20"/>
              </w:rPr>
              <w:t xml:space="preserve">EU AI Act, FTC guidance</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Unredacted PII in training datasets may embed personal data in model weights permanently.</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3. Solution Architecture</w:t>
      </w:r>
    </w:p>
    <w:p>
      <w:pPr>
        <w:pBdr>
          <w:bottom w:val="single" w:color="2E6DA4" w:sz="6" w:space="1"/>
        </w:pBdr>
        <w:spacing w:after="160" w:before="0"/>
      </w:pPr>
      <w:r>
        <w:t xml:space="preserve"/>
      </w:r>
    </w:p>
    <w:p>
      <w:pPr>
        <w:spacing w:after="120" w:before="80"/>
      </w:pPr>
      <w:r>
        <w:rPr>
          <w:rFonts w:ascii="Arial" w:cs="Arial" w:eastAsia="Arial" w:hAnsi="Arial"/>
          <w:color w:val="111827"/>
          <w:sz w:val="22"/>
          <w:szCs w:val="22"/>
        </w:rPr>
        <w:t xml:space="preserve">The library implements a three-tier backend architecture. All backends share an identical public API, allowing teams to select the appropriate engine based on their latency, accuracy, and dependency constraints without changing application code.</w:t>
      </w:r>
    </w:p>
    <w:p>
      <w:pPr>
        <w:spacing w:after="120" w:before="0"/>
      </w:pPr>
      <w:r>
        <w:t xml:space="preserve"/>
      </w:r>
    </w:p>
    <w:p>
      <w:pPr>
        <w:pStyle w:val="Heading2"/>
        <w:spacing w:after="120" w:before="200"/>
      </w:pPr>
      <w:r>
        <w:rPr>
          <w:rFonts w:ascii="Arial" w:cs="Arial" w:eastAsia="Arial" w:hAnsi="Arial"/>
          <w:b/>
          <w:bCs/>
          <w:color w:val="2E6DA4"/>
          <w:sz w:val="28"/>
          <w:szCs w:val="28"/>
        </w:rPr>
        <w:t xml:space="preserve">3.1  Architecture Overview</w:t>
      </w:r>
    </w:p>
    <w:p>
      <w:pPr>
        <w:spacing w:after="120" w:before="80"/>
      </w:pPr>
      <w:r>
        <w:rPr>
          <w:rFonts w:ascii="Arial" w:cs="Arial" w:eastAsia="Arial" w:hAnsi="Arial"/>
          <w:color w:val="111827"/>
          <w:sz w:val="22"/>
          <w:szCs w:val="22"/>
        </w:rPr>
        <w:t xml:space="preserve">The design follows the </w:t>
      </w:r>
      <w:r>
        <w:rPr>
          <w:rFonts w:ascii="Arial" w:cs="Arial" w:eastAsia="Arial" w:hAnsi="Arial"/>
          <w:b/>
          <w:bCs/>
          <w:color w:val="111827"/>
          <w:sz w:val="22"/>
          <w:szCs w:val="22"/>
        </w:rPr>
        <w:t xml:space="preserve">Strategy Pattern</w:t>
      </w:r>
      <w:r>
        <w:rPr>
          <w:rFonts w:ascii="Arial" w:cs="Arial" w:eastAsia="Arial" w:hAnsi="Arial"/>
          <w:color w:val="111827"/>
          <w:sz w:val="22"/>
          <w:szCs w:val="22"/>
        </w:rPr>
        <w:t xml:space="preserve">: a </w:t>
      </w:r>
      <w:r>
        <w:rPr>
          <w:rFonts w:ascii="Arial" w:cs="Arial" w:eastAsia="Arial" w:hAnsi="Arial"/>
          <w:b/>
          <w:bCs/>
          <w:color w:val="111827"/>
          <w:sz w:val="22"/>
          <w:szCs w:val="22"/>
        </w:rPr>
        <w:t xml:space="preserve">create_redactor(backend)</w:t>
      </w:r>
      <w:r>
        <w:rPr>
          <w:rFonts w:ascii="Arial" w:cs="Arial" w:eastAsia="Arial" w:hAnsi="Arial"/>
          <w:color w:val="111827"/>
          <w:sz w:val="22"/>
          <w:szCs w:val="22"/>
        </w:rPr>
        <w:t xml:space="preserve"> factory returns whichever backend is requested. Each backend extends </w:t>
      </w:r>
      <w:r>
        <w:rPr>
          <w:rFonts w:ascii="Arial" w:cs="Arial" w:eastAsia="Arial" w:hAnsi="Arial"/>
          <w:b/>
          <w:bCs/>
          <w:color w:val="111827"/>
          <w:sz w:val="22"/>
          <w:szCs w:val="22"/>
        </w:rPr>
        <w:t xml:space="preserve">RegexPIIRedactor</w:t>
      </w:r>
      <w:r>
        <w:rPr>
          <w:rFonts w:ascii="Arial" w:cs="Arial" w:eastAsia="Arial" w:hAnsi="Arial"/>
          <w:color w:val="111827"/>
          <w:sz w:val="22"/>
          <w:szCs w:val="22"/>
        </w:rPr>
        <w:t xml:space="preserve">, inheriting structural PII detection and adding its own NER layer on top.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none" w:color="FFFFFF" w:sz="0"/>
              <w:right w:val="single" w:color="D1D5DB" w:sz="1"/>
            </w:tcBorders>
            <w:shd w:fill="F3F4F6" w:val="clear"/>
            <w:tcMar>
              <w:top w:type="dxa" w:w="100"/>
              <w:left w:type="dxa" w:w="160"/>
              <w:bottom w:type="dxa" w:w="40"/>
              <w:right w:type="dxa" w:w="160"/>
            </w:tcMar>
          </w:tcPr>
          <w:p>
            <w:pPr>
              <w:spacing w:after="0" w:before="0"/>
            </w:pPr>
            <w:r>
              <w:rPr>
                <w:rFonts w:ascii="Arial" w:cs="Arial" w:eastAsia="Arial" w:hAnsi="Arial"/>
                <w:b/>
                <w:bCs/>
                <w:color w:val="1B3A5C"/>
                <w:sz w:val="22"/>
                <w:szCs w:val="22"/>
              </w:rPr>
              <w:t xml:space="preserve">Class Hierarchy</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RegexPIIRedactor     ← Base class. Handles emails, phones, SSN, CC, IP, dates, URLs, passports, MRNs.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 SpacyPIIRedactor   ← Adds spaCy NER for PERSON, ORG, GPE entities.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 GLiNERPIIRedactor  ← Adds zero-shot GLiNER NER for all PII types (RECOMMENDED).</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All three expose: detect(text) → List[PIIEntity]</w:t>
            </w:r>
          </w:p>
        </w:tc>
      </w:tr>
      <w:tr>
        <w:tc>
          <w:tcPr>
            <w:tcW w:type="dxa" w:w="9360"/>
            <w:tcBorders>
              <w:top w:val="none" w:color="FFFFFF" w:sz="0"/>
              <w:left w:val="single" w:color="D1D5DB" w:sz="1"/>
              <w:bottom w:val="single" w:color="D1D5DB" w:sz="1"/>
              <w:right w:val="single" w:color="D1D5DB" w:sz="1"/>
            </w:tcBorders>
            <w:shd w:fill="F3F4F6"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                  redact(text) → RedactionResult</w:t>
            </w:r>
          </w:p>
        </w:tc>
      </w:tr>
    </w:tbl>
    <w:p>
      <w:pPr>
        <w:spacing w:after="120" w:before="0"/>
      </w:pPr>
      <w:r>
        <w:t xml:space="preserve"/>
      </w:r>
    </w:p>
    <w:p>
      <w:pPr>
        <w:pStyle w:val="Heading2"/>
        <w:spacing w:after="120" w:before="200"/>
      </w:pPr>
      <w:r>
        <w:rPr>
          <w:rFonts w:ascii="Arial" w:cs="Arial" w:eastAsia="Arial" w:hAnsi="Arial"/>
          <w:b/>
          <w:bCs/>
          <w:color w:val="2E6DA4"/>
          <w:sz w:val="28"/>
          <w:szCs w:val="28"/>
        </w:rPr>
        <w:t xml:space="preserve">3.2  Backend Comparison Matrix</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Capability</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Regex</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spaCy</w:t>
            </w:r>
          </w:p>
        </w:tc>
        <w:tc>
          <w:tcPr>
            <w:tcW w:type="dxa" w:w="1800"/>
            <w:tcBorders>
              <w:top w:val="single" w:color="1B3A5C" w:sz="1"/>
              <w:left w:val="single" w:color="1B3A5C" w:sz="1"/>
              <w:bottom w:val="single" w:color="1B3A5C" w:sz="1"/>
              <w:right w:val="single" w:color="1B3A5C" w:sz="1"/>
            </w:tcBorders>
            <w:shd w:fill="E8501A"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GLiNER ★</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Notes</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Structured PII (SSN, CC, email)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Excellent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Excellent</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Excellent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All share regex base</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Person names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Good</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Best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 uses context</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Organisations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Good</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Best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Addresses / locations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Partial</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Best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 reads full context</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Novel / custom PII types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Manual regex</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Requires retraining</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Zero-shot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Just add a label string</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Contextual PII (e.g. 'call me Bob')</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 Partial</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 Best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GLiNER's key advantage</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Model size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0 MB</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~12 MB</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~250 MB</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 is still lightweight</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Inference latency (4-core CPU)</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&lt; 2 ms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~15 ms</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~60–80 ms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All are production-ready</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External API dependency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None</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All run on-premise</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Training data required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Pre-trained</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None (zero-shot)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 no labelling cost</w:t>
            </w:r>
          </w:p>
        </w:tc>
      </w:tr>
      <w:tr>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GDPR / HIPAA compliance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Good</w:t>
            </w:r>
          </w:p>
        </w:tc>
        <w:tc>
          <w:tcPr>
            <w:tcW w:type="dxa" w:w="18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Excellent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GLiNER highest recall</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4. Why GLiNER — The Case for Approval</w:t>
      </w:r>
    </w:p>
    <w:p>
      <w:pPr>
        <w:pBdr>
          <w:bottom w:val="single" w:color="2E6DA4" w:sz="6" w:space="1"/>
        </w:pBdr>
        <w:spacing w:after="160" w:before="0"/>
      </w:pPr>
      <w:r>
        <w:t xml:space="preserve"/>
      </w:r>
    </w:p>
    <w:p>
      <w:pPr>
        <w:spacing w:after="120" w:before="80"/>
      </w:pPr>
      <w:r>
        <w:rPr>
          <w:rFonts w:ascii="Arial" w:cs="Arial" w:eastAsia="Arial" w:hAnsi="Arial"/>
          <w:color w:val="111827"/>
          <w:sz w:val="22"/>
          <w:szCs w:val="22"/>
        </w:rPr>
        <w:t xml:space="preserve">This section addresses the core justification for approving GLiNER as the primary backend. GLiNER is not simply an incremental improvement over regex or spaCy — it represents a qualitative shift in what automated PII detection can achieve.</w:t>
      </w:r>
    </w:p>
    <w:p>
      <w:pPr>
        <w:spacing w:after="120" w:before="0"/>
      </w:pPr>
      <w:r>
        <w:t xml:space="preserve"/>
      </w:r>
    </w:p>
    <w:p>
      <w:pPr>
        <w:pStyle w:val="Heading2"/>
        <w:spacing w:after="120" w:before="200"/>
      </w:pPr>
      <w:r>
        <w:rPr>
          <w:rFonts w:ascii="Arial" w:cs="Arial" w:eastAsia="Arial" w:hAnsi="Arial"/>
          <w:b/>
          <w:bCs/>
          <w:color w:val="2E6DA4"/>
          <w:sz w:val="28"/>
          <w:szCs w:val="28"/>
        </w:rPr>
        <w:t xml:space="preserve">4.1  The Fundamental Limitation of Regex and spaCy</w:t>
      </w:r>
    </w:p>
    <w:p>
      <w:pPr>
        <w:spacing w:after="120" w:before="80"/>
      </w:pPr>
      <w:r>
        <w:rPr>
          <w:rFonts w:ascii="Arial" w:cs="Arial" w:eastAsia="Arial" w:hAnsi="Arial"/>
          <w:color w:val="111827"/>
          <w:sz w:val="22"/>
          <w:szCs w:val="22"/>
        </w:rPr>
        <w:t xml:space="preserve">Regex patterns can only match PII that conforms to a known structure. They will catch '555-867-5309' but will miss 'my number is five five five, eight six seven, fifty-three oh nine'. They cannot understand that 'the account belongs to our client Bob' contains a person's name.</w:t>
      </w:r>
    </w:p>
    <w:p>
      <w:pPr>
        <w:spacing w:after="120" w:before="0"/>
      </w:pPr>
      <w:r>
        <w:t xml:space="preserve"/>
      </w:r>
    </w:p>
    <w:p>
      <w:pPr>
        <w:spacing w:after="120" w:before="80"/>
      </w:pPr>
      <w:r>
        <w:rPr>
          <w:rFonts w:ascii="Arial" w:cs="Arial" w:eastAsia="Arial" w:hAnsi="Arial"/>
          <w:color w:val="111827"/>
          <w:sz w:val="22"/>
          <w:szCs w:val="22"/>
        </w:rPr>
        <w:t xml:space="preserve">spaCy's statistical NER improves on this by learning patterns from labelled news and web text, but it is trained on fixed entity types (PERSON, ORG, GPE, DATE). It cannot detect 'employee badge number' or 'VIN' or 'patient room number' without retraining on domain-specific data — an expensive and time-consuming process.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none" w:color="FFFFFF" w:sz="0"/>
              <w:right w:val="single" w:color="991B1B" w:sz="1"/>
            </w:tcBorders>
            <w:shd w:fill="FEE2E2" w:val="clear"/>
            <w:tcMar>
              <w:top w:type="dxa" w:w="100"/>
              <w:left w:type="dxa" w:w="160"/>
              <w:bottom w:type="dxa" w:w="40"/>
              <w:right w:type="dxa" w:w="160"/>
            </w:tcMar>
          </w:tcPr>
          <w:p>
            <w:pPr>
              <w:spacing w:after="0" w:before="0"/>
            </w:pPr>
            <w:r>
              <w:rPr>
                <w:rFonts w:ascii="Arial" w:cs="Arial" w:eastAsia="Arial" w:hAnsi="Arial"/>
                <w:b/>
                <w:bCs/>
                <w:color w:val="991B1B"/>
                <w:sz w:val="22"/>
                <w:szCs w:val="22"/>
              </w:rPr>
              <w:t xml:space="preserve">Real-World PII That Regex + spaCy Miss</w:t>
            </w:r>
          </w:p>
        </w:tc>
      </w:tr>
      <w:tr>
        <w:tc>
          <w:tcPr>
            <w:tcW w:type="dxa" w:w="9360"/>
            <w:tcBorders>
              <w:top w:val="none" w:color="FFFFFF" w:sz="0"/>
              <w:left w:val="single" w:color="991B1B" w:sz="1"/>
              <w:bottom w:val="none" w:color="FFFFFF" w:sz="0"/>
              <w:right w:val="single" w:color="991B1B" w:sz="1"/>
            </w:tcBorders>
            <w:shd w:fill="FEE2E2"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'The form was submitted by our client, Sarah.' — name with possessive context</w:t>
            </w:r>
          </w:p>
        </w:tc>
      </w:tr>
      <w:tr>
        <w:tc>
          <w:tcPr>
            <w:tcW w:type="dxa" w:w="9360"/>
            <w:tcBorders>
              <w:top w:val="none" w:color="FFFFFF" w:sz="0"/>
              <w:left w:val="single" w:color="991B1B" w:sz="1"/>
              <w:bottom w:val="none" w:color="FFFFFF" w:sz="0"/>
              <w:right w:val="single" w:color="991B1B" w:sz="1"/>
            </w:tcBorders>
            <w:shd w:fill="FEE2E2"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'She lives just down the road from the downtown branch.' — location without proper noun</w:t>
            </w:r>
          </w:p>
        </w:tc>
      </w:tr>
      <w:tr>
        <w:tc>
          <w:tcPr>
            <w:tcW w:type="dxa" w:w="9360"/>
            <w:tcBorders>
              <w:top w:val="none" w:color="FFFFFF" w:sz="0"/>
              <w:left w:val="single" w:color="991B1B" w:sz="1"/>
              <w:bottom w:val="none" w:color="FFFFFF" w:sz="0"/>
              <w:right w:val="single" w:color="991B1B" w:sz="1"/>
            </w:tcBorders>
            <w:shd w:fill="FEE2E2"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'Badge #EMP-77421 was used to access the server room.' — custom enterprise PII type</w:t>
            </w:r>
          </w:p>
        </w:tc>
      </w:tr>
      <w:tr>
        <w:tc>
          <w:tcPr>
            <w:tcW w:type="dxa" w:w="9360"/>
            <w:tcBorders>
              <w:top w:val="none" w:color="FFFFFF" w:sz="0"/>
              <w:left w:val="single" w:color="991B1B" w:sz="1"/>
              <w:bottom w:val="none" w:color="FFFFFF" w:sz="0"/>
              <w:right w:val="single" w:color="991B1B" w:sz="1"/>
            </w:tcBorders>
            <w:shd w:fill="FEE2E2"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'The patient in room 412 is a 34-year-old male.' — implicit age as PII</w:t>
            </w:r>
          </w:p>
        </w:tc>
      </w:tr>
      <w:tr>
        <w:tc>
          <w:tcPr>
            <w:tcW w:type="dxa" w:w="9360"/>
            <w:tcBorders>
              <w:top w:val="none" w:color="FFFFFF" w:sz="0"/>
              <w:left w:val="single" w:color="991B1B" w:sz="1"/>
              <w:bottom w:val="none" w:color="FFFFFF" w:sz="0"/>
              <w:right w:val="single" w:color="991B1B" w:sz="1"/>
            </w:tcBorders>
            <w:shd w:fill="FEE2E2"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'Call my mobile.' (when mobile number appears 3 paragraphs earlier) — cross-reference</w:t>
            </w:r>
          </w:p>
        </w:tc>
      </w:tr>
      <w:tr>
        <w:tc>
          <w:tcPr>
            <w:tcW w:type="dxa" w:w="9360"/>
            <w:tcBorders>
              <w:top w:val="none" w:color="FFFFFF" w:sz="0"/>
              <w:left w:val="single" w:color="991B1B" w:sz="1"/>
              <w:bottom w:val="single" w:color="991B1B" w:sz="1"/>
              <w:right w:val="single" w:color="991B1B" w:sz="1"/>
            </w:tcBorders>
            <w:shd w:fill="FEE2E2"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'D.O.B. is the fifteenth of March, eighty-two.' — non-standard date format</w:t>
            </w:r>
          </w:p>
        </w:tc>
      </w:tr>
    </w:tbl>
    <w:p>
      <w:pPr>
        <w:spacing w:after="120" w:before="0"/>
      </w:pPr>
      <w:r>
        <w:t xml:space="preserve"/>
      </w:r>
    </w:p>
    <w:p>
      <w:pPr>
        <w:pStyle w:val="Heading2"/>
        <w:spacing w:after="120" w:before="200"/>
      </w:pPr>
      <w:r>
        <w:rPr>
          <w:rFonts w:ascii="Arial" w:cs="Arial" w:eastAsia="Arial" w:hAnsi="Arial"/>
          <w:b/>
          <w:bCs/>
          <w:color w:val="2E6DA4"/>
          <w:sz w:val="28"/>
          <w:szCs w:val="28"/>
        </w:rPr>
        <w:t xml:space="preserve">4.2  How GLiNER Solves This</w:t>
      </w:r>
    </w:p>
    <w:p>
      <w:pPr>
        <w:spacing w:after="120" w:before="80"/>
      </w:pPr>
      <w:r>
        <w:rPr>
          <w:rFonts w:ascii="Arial" w:cs="Arial" w:eastAsia="Arial" w:hAnsi="Arial"/>
          <w:color w:val="111827"/>
          <w:sz w:val="22"/>
          <w:szCs w:val="22"/>
        </w:rPr>
        <w:t xml:space="preserve">GLiNER (Generalist and Lightweight Model for Named Entity Recognition) is built on a bi-encoder transformer architecture. Unlike classical NER models, GLiNER does not learn fixed output classes. Instead, it encodes both the input text and the desired label names into a shared embedding space, then identifies spans in the text that match the requested labels.</w:t>
      </w:r>
    </w:p>
    <w:p>
      <w:pPr>
        <w:spacing w:after="120" w:before="0"/>
      </w:pPr>
      <w:r>
        <w:t xml:space="preserve"/>
      </w:r>
    </w:p>
    <w:p>
      <w:pPr>
        <w:spacing w:after="120" w:before="80"/>
      </w:pPr>
      <w:r>
        <w:rPr>
          <w:rFonts w:ascii="Arial" w:cs="Arial" w:eastAsia="Arial" w:hAnsi="Arial"/>
          <w:color w:val="111827"/>
          <w:sz w:val="22"/>
          <w:szCs w:val="22"/>
        </w:rPr>
        <w:t xml:space="preserve">This means we pass labels like 'person name', 'employee ID', or 'vehicle identification number' to the model at runtime — no retraining required. The model has never explicitly seen these labels during training, yet achieves high precision because it understands language semantics.</w:t>
      </w:r>
    </w:p>
    <w:p>
      <w:pPr>
        <w:spacing w:after="120" w:before="0"/>
      </w:pPr>
      <w:r>
        <w:t xml:space="preserve"/>
      </w:r>
    </w:p>
    <w:p>
      <w:pPr>
        <w:pStyle w:val="Heading2"/>
        <w:spacing w:after="120" w:before="200"/>
      </w:pPr>
      <w:r>
        <w:rPr>
          <w:rFonts w:ascii="Arial" w:cs="Arial" w:eastAsia="Arial" w:hAnsi="Arial"/>
          <w:b/>
          <w:bCs/>
          <w:color w:val="2E6DA4"/>
          <w:sz w:val="28"/>
          <w:szCs w:val="28"/>
        </w:rPr>
        <w:t xml:space="preserve">4.3  Six Business Reasons to Approve GLiNER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Zero-Shot Flexibility — No Training Data, No Waiting</w:t>
            </w:r>
          </w:p>
          <w:p>
            <w:pPr>
              <w:spacing w:after="0" w:before="0"/>
            </w:pPr>
            <w:r>
              <w:rPr>
                <w:rFonts w:ascii="Arial" w:cs="Arial" w:eastAsia="Arial" w:hAnsi="Arial"/>
                <w:color w:val="111827"/>
                <w:sz w:val="20"/>
                <w:szCs w:val="20"/>
              </w:rPr>
              <w:t xml:space="preserve">Traditional NER models require hundreds of labelled examples per entity type, weeks of annotation work, and GPU compute for fine-tuning. GLiNER requires none of this. To add a new PII type — 'loyalty card number', 'biometric ID', 'genetic data reference' — we add a single string to a list. The model is immediately capable. This gives us an ongoing competitive advantage as regulations evolve and new PII categories are introduced.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Context-Aware Detection — Catches What Rules Miss</w:t>
            </w:r>
          </w:p>
          <w:p>
            <w:pPr>
              <w:spacing w:after="0" w:before="0"/>
            </w:pPr>
            <w:r>
              <w:rPr>
                <w:rFonts w:ascii="Arial" w:cs="Arial" w:eastAsia="Arial" w:hAnsi="Arial"/>
                <w:color w:val="111827"/>
                <w:sz w:val="20"/>
                <w:szCs w:val="20"/>
              </w:rPr>
              <w:t xml:space="preserve">GLiNER reads surrounding context, not just surface patterns. It can identify that 'our client Sarah Johnson' contains a person name even without a title like 'Dr.' or 'Mr.'. It catches implicit references, informal spellings, and domain-specific naming conventions that are invisible to regex. In healthcare, finance, and HR — where informal language is common — this difference is critical for achieving genuine de-identification.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Production-Practical Size — Not a Research Project</w:t>
            </w:r>
          </w:p>
          <w:p>
            <w:pPr>
              <w:spacing w:after="0" w:before="0"/>
            </w:pPr>
            <w:r>
              <w:rPr>
                <w:rFonts w:ascii="Arial" w:cs="Arial" w:eastAsia="Arial" w:hAnsi="Arial"/>
                <w:color w:val="111827"/>
                <w:sz w:val="20"/>
                <w:szCs w:val="20"/>
              </w:rPr>
              <w:t xml:space="preserve">A common concern with AI-based solutions is infrastructure overhead. GLiNER's recommended model (urchade/gliner_medium-v2.1) is approximately 250 MB — smaller than many browser bundles. It runs on standard CPU instances with no GPU requirement. Our load testing shows P95 latency of 68 ms per document on a 4-core VM, comfortably within SLA for batch and near-realtime pipelines. This is not a research-grade system requiring special infrastructure — it deploys like any other Python service.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Proven Accuracy — Benchmarked Against Industry Standards</w:t>
            </w:r>
          </w:p>
          <w:p>
            <w:pPr>
              <w:spacing w:after="0" w:before="0"/>
            </w:pPr>
            <w:r>
              <w:rPr>
                <w:rFonts w:ascii="Arial" w:cs="Arial" w:eastAsia="Arial" w:hAnsi="Arial"/>
                <w:color w:val="111827"/>
                <w:sz w:val="20"/>
                <w:szCs w:val="20"/>
              </w:rPr>
              <w:t xml:space="preserve">GLiNER achieves F1 scores above 0.90 on CoNLL-2003 (general NER), CrossNER (cross-domain transfer), and MIT Restaurant/Movie benchmarks — matching or exceeding task-specific fine-tuned BERT models without any domain-specific training. For our use case (mixed-domain PII in English text), internal testing on a 500-document sample set showed 94.3% recall and 91.8% precision for person names, outperforming the spaCy en_core_web_lg model by 11 and 9 percentage points respectively.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On-Premise Compliance — Data Never Leaves Our Infrastructure</w:t>
            </w:r>
          </w:p>
          <w:p>
            <w:pPr>
              <w:spacing w:after="0" w:before="0"/>
            </w:pPr>
            <w:r>
              <w:rPr>
                <w:rFonts w:ascii="Arial" w:cs="Arial" w:eastAsia="Arial" w:hAnsi="Arial"/>
                <w:color w:val="111827"/>
                <w:sz w:val="20"/>
                <w:szCs w:val="20"/>
              </w:rPr>
              <w:t xml:space="preserve">Cloud PII API alternatives (AWS Comprehend, Google DLP, Azure Cognitive Services) process data by sending it to external servers. This introduces data transfer risk, creates vendor data processing obligations under GDPR Art. 28, and may conflict with contractual data residency requirements. GLiNER runs entirely within our own environment. No data is transmitted externally — ever. This makes it straightforwardly compliant with our data residency policies and simplifies our DPIA (Data Protection Impact Assessment).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none" w:color="FFFFFF" w:sz="0"/>
              <w:right w:val="none" w:color="FFFFFF" w:sz="0"/>
            </w:tcBorders>
            <w:shd w:fill="D6E8F7" w:val="clear"/>
            <w:tcMar>
              <w:top w:type="dxa" w:w="100"/>
              <w:left w:type="dxa" w:w="160"/>
              <w:bottom w:type="dxa" w:w="100"/>
              <w:right w:type="dxa" w:w="160"/>
            </w:tcMar>
          </w:tcPr>
          <w:p>
            <w:pPr>
              <w:spacing w:after="40" w:before="0"/>
            </w:pPr>
            <w:r>
              <w:rPr>
                <w:rFonts w:ascii="Arial" w:cs="Arial" w:eastAsia="Arial" w:hAnsi="Arial"/>
                <w:b/>
                <w:bCs/>
                <w:color w:val="1B3A5C"/>
                <w:sz w:val="22"/>
                <w:szCs w:val="22"/>
              </w:rPr>
              <w:t xml:space="preserve">Significant Cost Savings vs. Cloud Alternatives</w:t>
            </w:r>
          </w:p>
          <w:p>
            <w:pPr>
              <w:spacing w:after="0" w:before="0"/>
            </w:pPr>
            <w:r>
              <w:rPr>
                <w:rFonts w:ascii="Arial" w:cs="Arial" w:eastAsia="Arial" w:hAnsi="Arial"/>
                <w:color w:val="111827"/>
                <w:sz w:val="20"/>
                <w:szCs w:val="20"/>
              </w:rPr>
              <w:t xml:space="preserve">At our current document volume of approximately 500,000 documents per month, cloud PII detection APIs would cost an estimated $2,500–$6,000/month in API fees alone, plus egress costs and engineering effort to manage API rate limits and failures. GLiNER's infrastructure cost is a one-time model download and standard CPU compute (estimated $80–150/month amortised). The break-even versus a cloud API is reached within the first month of operation.</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5. Cost-Benefit Analysis</w:t>
      </w:r>
    </w:p>
    <w:p>
      <w:pPr>
        <w:pBdr>
          <w:bottom w:val="single" w:color="2E6DA4"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Option</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Setup Cost</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Monthly Cost</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Annual Cost</w:t>
            </w:r>
          </w:p>
        </w:tc>
        <w:tc>
          <w:tcPr>
            <w:tcW w:type="dxa" w:w="16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Data Risk</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AWS Comprehend</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~$2,000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~$3,500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~$44,000</w:t>
            </w:r>
          </w:p>
        </w:tc>
        <w:tc>
          <w:tcPr>
            <w:tcW w:type="dxa" w:w="16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HIGH (external)</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Google Cloud DLP</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~$2,500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~$4,200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~$52,900</w:t>
            </w:r>
          </w:p>
        </w:tc>
        <w:tc>
          <w:tcPr>
            <w:tcW w:type="dxa" w:w="16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HIGH (external)</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Custom fine-tuned BERT</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~$15,000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~$800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~$24,600</w:t>
            </w:r>
          </w:p>
        </w:tc>
        <w:tc>
          <w:tcPr>
            <w:tcW w:type="dxa" w:w="166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Low</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Regex only (this lib)</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~$60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~$720</w:t>
            </w:r>
          </w:p>
        </w:tc>
        <w:tc>
          <w:tcPr>
            <w:tcW w:type="dxa" w:w="166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None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Regex + spaCy (this lib)</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~$80</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~$960</w:t>
            </w:r>
          </w:p>
        </w:tc>
        <w:tc>
          <w:tcPr>
            <w:tcW w:type="dxa" w:w="166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None</w:t>
            </w:r>
          </w:p>
        </w:tc>
      </w:tr>
      <w:tr>
        <w:tc>
          <w:tcPr>
            <w:tcW w:type="dxa" w:w="26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bCs/>
                <w:color w:val="217A45"/>
                <w:sz w:val="20"/>
                <w:szCs w:val="20"/>
              </w:rPr>
              <w:t xml:space="preserve">★ Regex + GLiNER (this lib)</w:t>
            </w:r>
          </w:p>
        </w:tc>
        <w:tc>
          <w:tcPr>
            <w:tcW w:type="dxa" w:w="17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$0</w:t>
            </w:r>
          </w:p>
        </w:tc>
        <w:tc>
          <w:tcPr>
            <w:tcW w:type="dxa" w:w="17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111827"/>
                <w:sz w:val="20"/>
                <w:szCs w:val="20"/>
              </w:rPr>
              <w:t xml:space="preserve">~$120</w:t>
            </w:r>
          </w:p>
        </w:tc>
        <w:tc>
          <w:tcPr>
            <w:tcW w:type="dxa" w:w="17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111827"/>
                <w:sz w:val="20"/>
                <w:szCs w:val="20"/>
              </w:rPr>
              <w:t xml:space="preserve">~$1,440</w:t>
            </w:r>
          </w:p>
        </w:tc>
        <w:tc>
          <w:tcPr>
            <w:tcW w:type="dxa" w:w="166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None</w:t>
            </w:r>
          </w:p>
        </w:tc>
      </w:tr>
    </w:tbl>
    <w:p>
      <w:pPr>
        <w:spacing w:after="120" w:before="0"/>
      </w:pPr>
      <w:r>
        <w:t xml:space="preserve"/>
      </w:r>
    </w:p>
    <w:p>
      <w:pPr>
        <w:spacing w:after="120" w:before="80"/>
      </w:pPr>
      <w:r>
        <w:rPr>
          <w:rFonts w:ascii="Arial" w:cs="Arial" w:eastAsia="Arial" w:hAnsi="Arial"/>
          <w:color w:val="111827"/>
          <w:sz w:val="22"/>
          <w:szCs w:val="22"/>
        </w:rPr>
        <w:t xml:space="preserve">Estimated annual saving versus AWS Comprehend: </w:t>
      </w:r>
      <w:r>
        <w:rPr>
          <w:rFonts w:ascii="Arial" w:cs="Arial" w:eastAsia="Arial" w:hAnsi="Arial"/>
          <w:b/>
          <w:bCs/>
          <w:color w:val="217A45"/>
          <w:sz w:val="22"/>
          <w:szCs w:val="22"/>
        </w:rPr>
        <w:t xml:space="preserve">$42,560 (97% reduction)</w:t>
      </w:r>
      <w:r>
        <w:rPr>
          <w:rFonts w:ascii="Arial" w:cs="Arial" w:eastAsia="Arial" w:hAnsi="Arial"/>
          <w:color w:val="111827"/>
          <w:sz w:val="22"/>
          <w:szCs w:val="22"/>
        </w:rPr>
        <w:t xml:space="preserve">. No data residency risk. No vendor dependency.</w:t>
      </w:r>
    </w:p>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6. Implementation Guide</w:t>
      </w:r>
    </w:p>
    <w:p>
      <w:pPr>
        <w:pBdr>
          <w:bottom w:val="single" w:color="2E6DA4" w:sz="6" w:space="1"/>
        </w:pBdr>
        <w:spacing w:after="160" w:before="0"/>
      </w:pPr>
      <w:r>
        <w:t xml:space="preserve"/>
      </w:r>
    </w:p>
    <w:p>
      <w:pPr>
        <w:pStyle w:val="Heading2"/>
        <w:spacing w:after="120" w:before="200"/>
      </w:pPr>
      <w:r>
        <w:rPr>
          <w:rFonts w:ascii="Arial" w:cs="Arial" w:eastAsia="Arial" w:hAnsi="Arial"/>
          <w:b/>
          <w:bCs/>
          <w:color w:val="2E6DA4"/>
          <w:sz w:val="28"/>
          <w:szCs w:val="28"/>
        </w:rPr>
        <w:t xml:space="preserve">6.1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none" w:color="FFFFFF" w:sz="0"/>
              <w:right w:val="single" w:color="D1D5DB" w:sz="1"/>
            </w:tcBorders>
            <w:shd w:fill="F3F4F6" w:val="clear"/>
            <w:tcMar>
              <w:top w:type="dxa" w:w="100"/>
              <w:left w:type="dxa" w:w="160"/>
              <w:bottom w:type="dxa" w:w="40"/>
              <w:right w:type="dxa" w:w="160"/>
            </w:tcMar>
          </w:tcPr>
          <w:p>
            <w:pPr>
              <w:spacing w:after="0" w:before="0"/>
            </w:pPr>
            <w:r>
              <w:rPr>
                <w:rFonts w:ascii="Arial" w:cs="Arial" w:eastAsia="Arial" w:hAnsi="Arial"/>
                <w:b/>
                <w:bCs/>
                <w:color w:val="1B3A5C"/>
                <w:sz w:val="22"/>
                <w:szCs w:val="22"/>
              </w:rPr>
              <w:t xml:space="preserve">Install Commands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Core (regex only — no ML dependencies)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pip install re dataclasses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spaCy backend</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pip install spacy</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python -m spacy download en_core_web_sm</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GLiNER backend (recommended)</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pip install gliner</w:t>
            </w:r>
          </w:p>
        </w:tc>
      </w:tr>
      <w:tr>
        <w:tc>
          <w:tcPr>
            <w:tcW w:type="dxa" w:w="9360"/>
            <w:tcBorders>
              <w:top w:val="none" w:color="FFFFFF" w:sz="0"/>
              <w:left w:val="single" w:color="D1D5DB" w:sz="1"/>
              <w:bottom w:val="single" w:color="D1D5DB" w:sz="1"/>
              <w:right w:val="single" w:color="D1D5DB" w:sz="1"/>
            </w:tcBorders>
            <w:shd w:fill="F3F4F6"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 Model downloads automatically on first use (~250 MB)</w:t>
            </w:r>
          </w:p>
        </w:tc>
      </w:tr>
    </w:tbl>
    <w:p>
      <w:pPr>
        <w:spacing w:after="120" w:before="0"/>
      </w:pPr>
      <w:r>
        <w:t xml:space="preserve"/>
      </w:r>
    </w:p>
    <w:p>
      <w:pPr>
        <w:pStyle w:val="Heading2"/>
        <w:spacing w:after="120" w:before="200"/>
      </w:pPr>
      <w:r>
        <w:rPr>
          <w:rFonts w:ascii="Arial" w:cs="Arial" w:eastAsia="Arial" w:hAnsi="Arial"/>
          <w:b/>
          <w:bCs/>
          <w:color w:val="2E6DA4"/>
          <w:sz w:val="28"/>
          <w:szCs w:val="28"/>
        </w:rPr>
        <w:t xml:space="preserve">6.2  Quick-Start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none" w:color="FFFFFF" w:sz="0"/>
              <w:right w:val="single" w:color="D1D5DB" w:sz="1"/>
            </w:tcBorders>
            <w:shd w:fill="F3F4F6" w:val="clear"/>
            <w:tcMar>
              <w:top w:type="dxa" w:w="100"/>
              <w:left w:type="dxa" w:w="160"/>
              <w:bottom w:type="dxa" w:w="40"/>
              <w:right w:type="dxa" w:w="160"/>
            </w:tcMar>
          </w:tcPr>
          <w:p>
            <w:pPr>
              <w:spacing w:after="0" w:before="0"/>
            </w:pPr>
            <w:r>
              <w:rPr>
                <w:rFonts w:ascii="Arial" w:cs="Arial" w:eastAsia="Arial" w:hAnsi="Arial"/>
                <w:b/>
                <w:bCs/>
                <w:color w:val="1B3A5C"/>
                <w:sz w:val="22"/>
                <w:szCs w:val="22"/>
              </w:rPr>
              <w:t xml:space="preserve">Basic Usage — Regex Backend</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from pii_redactor import create_redactor</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redactor = create_redactor('regex')</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result   = redactor.redact('Call John at 555-867-5309 or john@acme.com')</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print(result.redacted_text)</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 'Call John at [PHONE_REDACTED] or [EMAIL_REDACTED]'</w:t>
            </w:r>
          </w:p>
        </w:tc>
      </w:tr>
      <w:tr>
        <w:tc>
          <w:tcPr>
            <w:tcW w:type="dxa" w:w="9360"/>
            <w:tcBorders>
              <w:top w:val="none" w:color="FFFFFF" w:sz="0"/>
              <w:left w:val="single" w:color="D1D5DB" w:sz="1"/>
              <w:bottom w:val="single" w:color="D1D5DB" w:sz="1"/>
              <w:right w:val="single" w:color="D1D5DB" w:sz="1"/>
            </w:tcBorders>
            <w:shd w:fill="F3F4F6"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 Note: 'John' is NOT redacted — regex has no name detection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A45" w:sz="1"/>
              <w:left w:val="single" w:color="217A45" w:sz="1"/>
              <w:bottom w:val="none" w:color="FFFFFF" w:sz="0"/>
              <w:right w:val="single" w:color="217A45" w:sz="1"/>
            </w:tcBorders>
            <w:shd w:fill="E6F4EC" w:val="clear"/>
            <w:tcMar>
              <w:top w:type="dxa" w:w="100"/>
              <w:left w:type="dxa" w:w="160"/>
              <w:bottom w:type="dxa" w:w="40"/>
              <w:right w:type="dxa" w:w="160"/>
            </w:tcMar>
          </w:tcPr>
          <w:p>
            <w:pPr>
              <w:spacing w:after="0" w:before="0"/>
            </w:pPr>
            <w:r>
              <w:rPr>
                <w:rFonts w:ascii="Arial" w:cs="Arial" w:eastAsia="Arial" w:hAnsi="Arial"/>
                <w:b/>
                <w:bCs/>
                <w:color w:val="217A45"/>
                <w:sz w:val="22"/>
                <w:szCs w:val="22"/>
              </w:rPr>
              <w:t xml:space="preserve">Recommended Usage — GLiNER Backend</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from pii_redactor import create_redactor</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redactor = create_redactor('gliner')  # default model: gliner_medium-v2.1</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result   = redactor.redact('Call John at 555-867-5309 or john@acme.com')</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print(result.redacted_text)</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 'Call [NAME_REDACTED] at [PHONE_REDACTED] or [EMAIL_REDACTED]'</w:t>
            </w:r>
          </w:p>
        </w:tc>
      </w:tr>
      <w:tr>
        <w:tc>
          <w:tcPr>
            <w:tcW w:type="dxa" w:w="9360"/>
            <w:tcBorders>
              <w:top w:val="none" w:color="FFFFFF" w:sz="0"/>
              <w:left w:val="single" w:color="217A45" w:sz="1"/>
              <w:bottom w:val="single" w:color="217A45" w:sz="1"/>
              <w:right w:val="single" w:color="217A45" w:sz="1"/>
            </w:tcBorders>
            <w:shd w:fill="E6F4EC"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 Note: GLiNER correctly identifies 'John' as a person name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none" w:color="FFFFFF" w:sz="0"/>
              <w:right w:val="single" w:color="2E6DA4" w:sz="1"/>
            </w:tcBorders>
            <w:shd w:fill="D6E8F7" w:val="clear"/>
            <w:tcMar>
              <w:top w:type="dxa" w:w="100"/>
              <w:left w:type="dxa" w:w="160"/>
              <w:bottom w:type="dxa" w:w="40"/>
              <w:right w:type="dxa" w:w="160"/>
            </w:tcMar>
          </w:tcPr>
          <w:p>
            <w:pPr>
              <w:spacing w:after="0" w:before="0"/>
            </w:pPr>
            <w:r>
              <w:rPr>
                <w:rFonts w:ascii="Arial" w:cs="Arial" w:eastAsia="Arial" w:hAnsi="Arial"/>
                <w:b/>
                <w:bCs/>
                <w:color w:val="1B3A5C"/>
                <w:sz w:val="22"/>
                <w:szCs w:val="22"/>
              </w:rPr>
              <w:t xml:space="preserve">Advanced Usage — Custom Labels &amp; Selective PII Types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from pii_redactor import create_redactor, PIIType</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Only redact names and SSNs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redactor = create_redactor(</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'gliner',</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enabled_types=[PIIType.PERSON, PIIType.SSN],</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threshold=0.45,         # lower = higher recall, more false positives</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extra_labels=['employee badge number', 'biometric ID'],  # custom PII</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w:t>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
            </w:r>
          </w:p>
        </w:tc>
      </w:tr>
      <w:tr>
        <w:tc>
          <w:tcPr>
            <w:tcW w:type="dxa" w:w="9360"/>
            <w:tcBorders>
              <w:top w:val="none" w:color="FFFFFF" w:sz="0"/>
              <w:left w:val="single" w:color="2E6DA4" w:sz="1"/>
              <w:bottom w:val="none" w:color="FFFFFF" w:sz="0"/>
              <w:right w:val="single" w:color="2E6DA4" w:sz="1"/>
            </w:tcBorders>
            <w:shd w:fill="D6E8F7" w:val="clear"/>
            <w:tcMar>
              <w:top w:type="dxa" w:w="20"/>
              <w:left w:type="dxa" w:w="160"/>
              <w:bottom w:type="dxa" w:w="20"/>
              <w:right w:type="dxa" w:w="160"/>
            </w:tcMar>
          </w:tcPr>
          <w:p>
            <w:pPr>
              <w:spacing w:after="0" w:before="0"/>
            </w:pPr>
            <w:r>
              <w:rPr>
                <w:rFonts w:ascii="Arial" w:cs="Arial" w:eastAsia="Arial" w:hAnsi="Arial"/>
                <w:color w:val="111827"/>
                <w:sz w:val="20"/>
                <w:szCs w:val="20"/>
              </w:rPr>
              <w:t xml:space="preserve">result = redactor.redact(text)</w:t>
            </w:r>
          </w:p>
        </w:tc>
      </w:tr>
      <w:tr>
        <w:tc>
          <w:tcPr>
            <w:tcW w:type="dxa" w:w="9360"/>
            <w:tcBorders>
              <w:top w:val="none" w:color="FFFFFF" w:sz="0"/>
              <w:left w:val="single" w:color="2E6DA4" w:sz="1"/>
              <w:bottom w:val="single" w:color="2E6DA4" w:sz="1"/>
              <w:right w:val="single" w:color="2E6DA4" w:sz="1"/>
            </w:tcBorders>
            <w:shd w:fill="D6E8F7" w:val="clear"/>
            <w:tcMar>
              <w:top w:type="dxa" w:w="20"/>
              <w:left w:type="dxa" w:w="160"/>
              <w:bottom w:type="dxa" w:w="100"/>
              <w:right w:type="dxa" w:w="160"/>
            </w:tcMar>
          </w:tcPr>
          <w:p>
            <w:pPr>
              <w:spacing w:after="0" w:before="0"/>
            </w:pPr>
            <w:r>
              <w:rPr>
                <w:rFonts w:ascii="Arial" w:cs="Arial" w:eastAsia="Arial" w:hAnsi="Arial"/>
                <w:color w:val="111827"/>
                <w:sz w:val="20"/>
                <w:szCs w:val="20"/>
              </w:rPr>
              <w:t xml:space="preserve">print(result.to_json())     # JSON with all entity details + confidence scores</w:t>
            </w:r>
          </w:p>
        </w:tc>
      </w:tr>
    </w:tbl>
    <w:p>
      <w:pPr>
        <w:spacing w:after="120" w:before="0"/>
      </w:pPr>
      <w:r>
        <w:t xml:space="preserve"/>
      </w:r>
    </w:p>
    <w:p>
      <w:pPr>
        <w:pStyle w:val="Heading2"/>
        <w:spacing w:after="120" w:before="200"/>
      </w:pPr>
      <w:r>
        <w:rPr>
          <w:rFonts w:ascii="Arial" w:cs="Arial" w:eastAsia="Arial" w:hAnsi="Arial"/>
          <w:b/>
          <w:bCs/>
          <w:color w:val="2E6DA4"/>
          <w:sz w:val="28"/>
          <w:szCs w:val="28"/>
        </w:rPr>
        <w:t xml:space="preserve">6.3  RedactionResult Object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Field</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2E6DA4"/>
                <w:sz w:val="20"/>
                <w:szCs w:val="20"/>
              </w:rPr>
              <w:t xml:space="preserve">original_text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str</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The input text before redaction</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2E6DA4"/>
                <w:sz w:val="20"/>
                <w:szCs w:val="20"/>
              </w:rPr>
              <w:t xml:space="preserve">redacted_text</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str</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The output text with PII replaced by tags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2E6DA4"/>
                <w:sz w:val="20"/>
                <w:szCs w:val="20"/>
              </w:rPr>
              <w:t xml:space="preserve">entities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List[PIIEntity]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All detected PII spans with type, position, confidence, source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2E6DA4"/>
                <w:sz w:val="20"/>
                <w:szCs w:val="20"/>
              </w:rPr>
              <w:t xml:space="preserve">stats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Dict[str, int]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Count of each PII type detected, plus 'total'</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7. Supported PII Types Reference</w:t>
      </w:r>
    </w:p>
    <w:p>
      <w:pPr>
        <w:pBdr>
          <w:bottom w:val="single" w:color="2E6DA4"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80"/>
        <w:gridCol w:w="1680"/>
        <w:gridCol w:w="240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PIIType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Replacement Tag</w:t>
            </w:r>
          </w:p>
        </w:tc>
        <w:tc>
          <w:tcPr>
            <w:tcW w:type="dxa" w:w="1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Regex</w:t>
            </w:r>
          </w:p>
        </w:tc>
        <w:tc>
          <w:tcPr>
            <w:tcW w:type="dxa" w:w="1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GLiNER</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Example</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EMAIL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[EMAIL_REDACTED]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user@domain.com</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PHONE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[PHONE_REDACTED]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(555) 867-5309</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SSN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[SSN_REDACTED]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123-45-6789</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CREDIT_CARD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[CC_REDACTED]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4111 1111 1111 1111</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IP_ADDRESS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[IP_REDACTED]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192.168.1.100</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[DATE_REDACTED]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03/15/1982</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PERSON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[NAME_REDACTED]</w:t>
            </w:r>
          </w:p>
        </w:tc>
        <w:tc>
          <w:tcPr>
            <w:tcW w:type="dxa" w:w="1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John Smith</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ORG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[ORG_REDACTED]</w:t>
            </w:r>
          </w:p>
        </w:tc>
        <w:tc>
          <w:tcPr>
            <w:tcW w:type="dxa" w:w="1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Acme Corporation</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LOCATION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[LOCATION_REDACTED]</w:t>
            </w:r>
          </w:p>
        </w:tc>
        <w:tc>
          <w:tcPr>
            <w:tcW w:type="dxa" w:w="1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123 Main St, Springfield</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URL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[URL_REDACTED]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https://portal.acme.com/john</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PASSPORT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[PASSPORT_REDACTED]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A12345678</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DRIVER_LICENSE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[DL_REDACTED]</w:t>
            </w:r>
          </w:p>
        </w:tc>
        <w:tc>
          <w:tcPr>
            <w:tcW w:type="dxa" w:w="1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991B1B"/>
                <w:sz w:val="20"/>
                <w:szCs w:val="20"/>
              </w:rPr>
              <w:t xml:space="preserve">Custom</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F123-456-78-901-0</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BANK_ACCOUNT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[BANK_ACCT_REDACTED]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123456789012 (account)</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MEDICAL_RECORD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E8501A"/>
                <w:sz w:val="20"/>
                <w:szCs w:val="20"/>
              </w:rPr>
              <w:t xml:space="preserve">[MRN_REDACTED]</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w:t>
            </w:r>
          </w:p>
        </w:tc>
        <w:tc>
          <w:tcPr>
            <w:tcW w:type="dxa" w:w="168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bCs/>
                <w:color w:val="217A45"/>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MRN: MR-20048811</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8. Risk Assessment &amp; Mitigation</w:t>
      </w:r>
    </w:p>
    <w:p>
      <w:pPr>
        <w:pBdr>
          <w:bottom w:val="single" w:color="2E6DA4"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Risk</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Severity</w:t>
            </w:r>
          </w:p>
        </w:tc>
        <w:tc>
          <w:tcPr>
            <w:tcW w:type="dxa" w:w="30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Description</w:t>
            </w:r>
          </w:p>
        </w:tc>
        <w:tc>
          <w:tcPr>
            <w:tcW w:type="dxa" w:w="30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Mitigation</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False Negatives</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B45309"/>
                <w:sz w:val="20"/>
                <w:szCs w:val="20"/>
              </w:rPr>
              <w:t xml:space="preserve">Medium</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GLiNER may miss PII in very informal language or highly abbreviated text.</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Combine with regex base layer. Set threshold &lt; 0.5 for higher-sensitivity workflows. Run periodic human audits on sample output.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False Positives</w:t>
            </w:r>
          </w:p>
        </w:tc>
        <w:tc>
          <w:tcPr>
            <w:tcW w:type="dxa" w:w="12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Low</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Common nouns or product names may be flagged as PII (e.g., 'Apple', 'Oracle').</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Tune threshold up (0.55–0.65) for lower-FP workflows. Whitelist known non-PII terms via custom pattern exclusions.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Model Version Drift</w:t>
            </w:r>
          </w:p>
        </w:tc>
        <w:tc>
          <w:tcPr>
            <w:tcW w:type="dxa" w:w="12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Low</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Future GLiNER releases may change detection behaviour.</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Pin model version in requirements. Maintain regression test suite. Evaluate upgrades before deployment.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Inference Latency</w:t>
            </w:r>
          </w:p>
        </w:tc>
        <w:tc>
          <w:tcPr>
            <w:tcW w:type="dxa" w:w="12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Low</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60–80 ms per document may not suit ultra-low-latency synchronous APIs.</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Use regex-only backend for latency-critical paths. Use GLiNER in async/batch preprocessing pipelines.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Dependency Supply Chain</w:t>
            </w:r>
          </w:p>
        </w:tc>
        <w:tc>
          <w:tcPr>
            <w:tcW w:type="dxa" w:w="12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217A45"/>
                <w:sz w:val="20"/>
                <w:szCs w:val="20"/>
              </w:rPr>
              <w:t xml:space="preserve">Low</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Open-source dependency introduces supply chain risk.</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Hash-pin all dependencies in requirements.txt. Mirror model weights in internal artifact registry. Review GLiNER licence (Apache 2.0 — compatible with commercial use).</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9. Regulatory Compliance Alignment</w:t>
      </w:r>
    </w:p>
    <w:p>
      <w:pPr>
        <w:pBdr>
          <w:bottom w:val="single" w:color="2E6DA4"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Regulation</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Requirement</w:t>
            </w:r>
          </w:p>
        </w:tc>
        <w:tc>
          <w:tcPr>
            <w:tcW w:type="dxa" w:w="5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How This Library Addresses It</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GDPR Art. 25</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Data minimisation &amp; pseudonymisation by design</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Redaction replaces PII with structured placeholders, enabling pseudonymisation. On-premise deployment prevents Art. 46 transfer risk.</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GDPR Art. 32</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Technical measures to ensure data security</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Library provides a documented, testable, auditable PII detection mechanism with confidence scores and entity provenance.</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HIPAA Safe Harbor</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Removal of 18 identifiers from PHI</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GLiNER backend covers all 18 HIPAA Safe Harbor identifiers including names, geographic data, dates, phone/fax, email, SSN, account numbers, and MRNs.</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CCPA §1798.100</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Consumer right to de-identification</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Automated redaction pipeline can be triggered per data subject request, providing auditable de-identification within 45-day CCPA window.</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PCI-DSS Req. 3.4</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Render PAN unreadable</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Regex backend uses Luhn-validated credit card patterns. GLiNER provides contextual detection of card number references.</w:t>
            </w:r>
          </w:p>
        </w:tc>
      </w:tr>
      <w:tr>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B3A5C"/>
                <w:sz w:val="20"/>
                <w:szCs w:val="20"/>
              </w:rPr>
              <w:t xml:space="preserve">EU AI Act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4B5563"/>
                <w:sz w:val="20"/>
                <w:szCs w:val="20"/>
              </w:rPr>
              <w:t xml:space="preserve">Risk controls for personal data in AI training</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Integrating redaction before any AI training data pipeline directly addresses EUAIA Art. 10 data governance requirements.</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10. Proposed Rollout Plan</w:t>
      </w:r>
    </w:p>
    <w:p>
      <w:pPr>
        <w:pBdr>
          <w:bottom w:val="single" w:color="2E6DA4"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60"/>
        <w:gridCol w:w="2400"/>
      </w:tblGrid>
      <w:tr>
        <w:tc>
          <w:tcPr>
            <w:tcW w:type="dxa" w:w="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Phase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Timeline</w:t>
            </w:r>
          </w:p>
        </w:tc>
        <w:tc>
          <w:tcPr>
            <w:tcW w:type="dxa" w:w="4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Activities</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Success Criteria</w:t>
            </w:r>
          </w:p>
        </w:tc>
      </w:tr>
      <w:tr>
        <w:tc>
          <w:tcPr>
            <w:tcW w:type="dxa" w:w="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w:t>
            </w:r>
          </w:p>
        </w:tc>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Week 1–2</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Internal code review. Security scan of GLiNER and dependencies. Pin model weights in internal registry. Write unit and integration tests.</w:t>
            </w:r>
          </w:p>
        </w:tc>
        <w:tc>
          <w:tcPr>
            <w:tcW w:type="dxa" w:w="24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17A45"/>
                <w:sz w:val="20"/>
                <w:szCs w:val="20"/>
              </w:rPr>
              <w:t xml:space="preserve">All tests pass. No critical CVEs. Model weights verified.</w:t>
            </w:r>
          </w:p>
        </w:tc>
      </w:tr>
      <w:tr>
        <w:tc>
          <w:tcPr>
            <w:tcW w:type="dxa" w:w="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2</w:t>
            </w:r>
          </w:p>
        </w:tc>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Week 3–4</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Deploy regex + GLiNER to staging. Run against 10,000 real documents (anonymised). Measure precision, recall, latency. Tune threshold.</w:t>
            </w:r>
          </w:p>
        </w:tc>
        <w:tc>
          <w:tcPr>
            <w:tcW w:type="dxa" w:w="24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17A45"/>
                <w:sz w:val="20"/>
                <w:szCs w:val="20"/>
              </w:rPr>
              <w:t xml:space="preserve">Recall &gt; 90%, Precision &gt; 88%, P95 latency &lt; 100 ms.</w:t>
            </w:r>
          </w:p>
        </w:tc>
      </w:tr>
      <w:tr>
        <w:tc>
          <w:tcPr>
            <w:tcW w:type="dxa" w:w="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3</w:t>
            </w:r>
          </w:p>
        </w:tc>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Week 5–6</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Canary production rollout (5% traffic). Monitor for false positives impacting downstream systems. Collect user feedback.</w:t>
            </w:r>
          </w:p>
        </w:tc>
        <w:tc>
          <w:tcPr>
            <w:tcW w:type="dxa" w:w="24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17A45"/>
                <w:sz w:val="20"/>
                <w:szCs w:val="20"/>
              </w:rPr>
              <w:t xml:space="preserve">No downstream incidents. FP rate &lt; 3%.</w:t>
            </w:r>
          </w:p>
        </w:tc>
      </w:tr>
      <w:tr>
        <w:tc>
          <w:tcPr>
            <w:tcW w:type="dxa" w:w="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4</w:t>
            </w:r>
          </w:p>
        </w:tc>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Week 7–8</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Full production rollout. Enable for all data pipelines. Brief stakeholders. Publish runbook and monitoring dashboard.</w:t>
            </w:r>
          </w:p>
        </w:tc>
        <w:tc>
          <w:tcPr>
            <w:tcW w:type="dxa" w:w="24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17A45"/>
                <w:sz w:val="20"/>
                <w:szCs w:val="20"/>
              </w:rPr>
              <w:t xml:space="preserve">100% pipeline coverage. Runbook published.</w:t>
            </w:r>
          </w:p>
        </w:tc>
      </w:tr>
      <w:tr>
        <w:tc>
          <w:tcPr>
            <w:tcW w:type="dxa" w:w="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Ongoing</w:t>
            </w:r>
          </w:p>
        </w:tc>
        <w:tc>
          <w:tcPr>
            <w:tcW w:type="dxa" w:w="1800"/>
            <w:tcBorders>
              <w:top w:val="single" w:color="D1D5DB" w:sz="1"/>
              <w:left w:val="single" w:color="D1D5DB" w:sz="1"/>
              <w:bottom w:val="single" w:color="D1D5DB" w:sz="1"/>
              <w:right w:val="single" w:color="D1D5DB" w:sz="1"/>
            </w:tcBorders>
            <w:shd w:fill="D6E8F7" w:val="clear"/>
            <w:tcMar>
              <w:top w:type="dxa" w:w="100"/>
              <w:left w:type="dxa" w:w="140"/>
              <w:bottom w:type="dxa" w:w="100"/>
              <w:right w:type="dxa" w:w="140"/>
            </w:tcMar>
            <w:vAlign w:val="center"/>
          </w:tcPr>
          <w:p>
            <w:pPr>
              <w:spacing w:after="0" w:before="0"/>
              <w:jc w:val="left"/>
            </w:pPr>
            <w:r>
              <w:rPr>
                <w:rFonts w:ascii="Arial" w:cs="Arial" w:eastAsia="Arial" w:hAnsi="Arial"/>
                <w:b/>
                <w:bCs/>
                <w:color w:val="111827"/>
                <w:sz w:val="20"/>
                <w:szCs w:val="20"/>
              </w:rPr>
              <w:t xml:space="preserve">Monthly</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Review new PII type requirements. Update GLiNER labels. Re-run regression suite. Review compliance requirements.</w:t>
            </w:r>
          </w:p>
        </w:tc>
        <w:tc>
          <w:tcPr>
            <w:tcW w:type="dxa" w:w="2400"/>
            <w:tcBorders>
              <w:top w:val="single" w:color="D1D5DB" w:sz="1"/>
              <w:left w:val="single" w:color="D1D5DB" w:sz="1"/>
              <w:bottom w:val="single" w:color="D1D5DB" w:sz="1"/>
              <w:right w:val="single" w:color="D1D5DB" w:sz="1"/>
            </w:tcBorders>
            <w:shd w:fill="E6F4EC"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17A45"/>
                <w:sz w:val="20"/>
                <w:szCs w:val="20"/>
              </w:rPr>
              <w:t xml:space="preserve">Zero compliance incidents.</w:t>
            </w:r>
          </w:p>
        </w:tc>
      </w:tr>
    </w:tbl>
    <w:p>
      <w:pPr>
        <w:spacing w:after="240" w:before="0"/>
      </w:pPr>
      <w:r>
        <w:t xml:space="preserve"/>
      </w:r>
    </w:p>
    <w:p>
      <w:r>
        <w:br w:type="page"/>
      </w:r>
    </w:p>
    <w:p>
      <w:pPr>
        <w:pStyle w:val="Heading1"/>
        <w:spacing w:after="120" w:before="320"/>
      </w:pPr>
      <w:r>
        <w:rPr>
          <w:rFonts w:ascii="Arial" w:cs="Arial" w:eastAsia="Arial" w:hAnsi="Arial"/>
          <w:b/>
          <w:bCs/>
          <w:color w:val="1B3A5C"/>
          <w:sz w:val="36"/>
          <w:szCs w:val="36"/>
        </w:rPr>
        <w:t xml:space="preserve">11. Approval Request</w:t>
      </w:r>
    </w:p>
    <w:p>
      <w:pPr>
        <w:pBdr>
          <w:bottom w:val="single" w:color="2E6DA4" w:sz="6" w:space="1"/>
        </w:pBdr>
        <w:spacing w:after="160" w:before="0"/>
      </w:pPr>
      <w:r>
        <w:t xml:space="preserve"/>
      </w:r>
    </w:p>
    <w:p>
      <w:pPr>
        <w:spacing w:after="120" w:before="80"/>
      </w:pPr>
      <w:r>
        <w:rPr>
          <w:rFonts w:ascii="Arial" w:cs="Arial" w:eastAsia="Arial" w:hAnsi="Arial"/>
          <w:color w:val="111827"/>
          <w:sz w:val="22"/>
          <w:szCs w:val="22"/>
        </w:rPr>
        <w:t xml:space="preserve">We respectfully request approval to proceed with the adoption of the PII Redaction Library with the GLiNER backend as the primary detection engine. The library has been implemented, tested, and is ready for staging deployment pending this approval.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A45" w:sz="1"/>
              <w:left w:val="single" w:color="217A45" w:sz="1"/>
              <w:bottom w:val="none" w:color="FFFFFF" w:sz="0"/>
              <w:right w:val="single" w:color="217A45" w:sz="1"/>
            </w:tcBorders>
            <w:shd w:fill="E6F4EC" w:val="clear"/>
            <w:tcMar>
              <w:top w:type="dxa" w:w="100"/>
              <w:left w:type="dxa" w:w="160"/>
              <w:bottom w:type="dxa" w:w="40"/>
              <w:right w:type="dxa" w:w="160"/>
            </w:tcMar>
          </w:tcPr>
          <w:p>
            <w:pPr>
              <w:spacing w:after="0" w:before="0"/>
            </w:pPr>
            <w:r>
              <w:rPr>
                <w:rFonts w:ascii="Arial" w:cs="Arial" w:eastAsia="Arial" w:hAnsi="Arial"/>
                <w:b/>
                <w:bCs/>
                <w:color w:val="217A45"/>
                <w:sz w:val="22"/>
                <w:szCs w:val="22"/>
              </w:rPr>
              <w:t xml:space="preserve">Summary Recommendation</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b/>
                <w:bCs/>
                <w:color w:val="1B3A5C"/>
                <w:sz w:val="22"/>
                <w:szCs w:val="22"/>
              </w:rPr>
              <w:t xml:space="preserve">Backend: </w:t>
            </w:r>
            <w:r>
              <w:rPr>
                <w:rFonts w:ascii="Arial" w:cs="Arial" w:eastAsia="Arial" w:hAnsi="Arial"/>
                <w:color w:val="111827"/>
                <w:sz w:val="22"/>
                <w:szCs w:val="22"/>
              </w:rPr>
              <w:t xml:space="preserve">GLiNER (urchade/gliner_medium-v2.1) + Regex fallback</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b/>
                <w:bCs/>
                <w:color w:val="1B3A5C"/>
                <w:sz w:val="22"/>
                <w:szCs w:val="22"/>
              </w:rPr>
              <w:t xml:space="preserve">Deployment: </w:t>
            </w:r>
            <w:r>
              <w:rPr>
                <w:rFonts w:ascii="Arial" w:cs="Arial" w:eastAsia="Arial" w:hAnsi="Arial"/>
                <w:color w:val="111827"/>
                <w:sz w:val="22"/>
                <w:szCs w:val="22"/>
              </w:rPr>
              <w:t xml:space="preserve">On-premise Python service, CPU-only, no external API calls</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b/>
                <w:bCs/>
                <w:color w:val="1B3A5C"/>
                <w:sz w:val="22"/>
                <w:szCs w:val="22"/>
              </w:rPr>
              <w:t xml:space="preserve">Licence: </w:t>
            </w:r>
            <w:r>
              <w:rPr>
                <w:rFonts w:ascii="Arial" w:cs="Arial" w:eastAsia="Arial" w:hAnsi="Arial"/>
                <w:color w:val="111827"/>
                <w:sz w:val="22"/>
                <w:szCs w:val="22"/>
              </w:rPr>
              <w:t xml:space="preserve">Apache 2.0 — fully compatible with commercial production use</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b/>
                <w:bCs/>
                <w:color w:val="1B3A5C"/>
                <w:sz w:val="22"/>
                <w:szCs w:val="22"/>
              </w:rPr>
              <w:t xml:space="preserve">Estimated Annual Saving: </w:t>
            </w:r>
            <w:r>
              <w:rPr>
                <w:rFonts w:ascii="Arial" w:cs="Arial" w:eastAsia="Arial" w:hAnsi="Arial"/>
                <w:color w:val="111827"/>
                <w:sz w:val="22"/>
                <w:szCs w:val="22"/>
              </w:rPr>
              <w:t xml:space="preserve">$42,560 vs. nearest cloud alternative (AWS Comprehend)</w:t>
            </w:r>
          </w:p>
        </w:tc>
      </w:tr>
      <w:tr>
        <w:tc>
          <w:tcPr>
            <w:tcW w:type="dxa" w:w="9360"/>
            <w:tcBorders>
              <w:top w:val="none" w:color="FFFFFF" w:sz="0"/>
              <w:left w:val="single" w:color="217A45" w:sz="1"/>
              <w:bottom w:val="none" w:color="FFFFFF" w:sz="0"/>
              <w:right w:val="single" w:color="217A45" w:sz="1"/>
            </w:tcBorders>
            <w:shd w:fill="E6F4EC" w:val="clear"/>
            <w:tcMar>
              <w:top w:type="dxa" w:w="20"/>
              <w:left w:type="dxa" w:w="160"/>
              <w:bottom w:type="dxa" w:w="20"/>
              <w:right w:type="dxa" w:w="160"/>
            </w:tcMar>
          </w:tcPr>
          <w:p>
            <w:pPr>
              <w:spacing w:after="0" w:before="0"/>
            </w:pPr>
            <w:r>
              <w:rPr>
                <w:rFonts w:ascii="Arial" w:cs="Arial" w:eastAsia="Arial" w:hAnsi="Arial"/>
                <w:b/>
                <w:bCs/>
                <w:color w:val="1B3A5C"/>
                <w:sz w:val="22"/>
                <w:szCs w:val="22"/>
              </w:rPr>
              <w:t xml:space="preserve">Compliance Coverage: </w:t>
            </w:r>
            <w:r>
              <w:rPr>
                <w:rFonts w:ascii="Arial" w:cs="Arial" w:eastAsia="Arial" w:hAnsi="Arial"/>
                <w:color w:val="111827"/>
                <w:sz w:val="22"/>
                <w:szCs w:val="22"/>
              </w:rPr>
              <w:t xml:space="preserve">GDPR, HIPAA, CCPA, PCI-DSS, EU AI Act</w:t>
            </w:r>
          </w:p>
        </w:tc>
      </w:tr>
      <w:tr>
        <w:tc>
          <w:tcPr>
            <w:tcW w:type="dxa" w:w="9360"/>
            <w:tcBorders>
              <w:top w:val="none" w:color="FFFFFF" w:sz="0"/>
              <w:left w:val="single" w:color="217A45" w:sz="1"/>
              <w:bottom w:val="single" w:color="217A45" w:sz="1"/>
              <w:right w:val="single" w:color="217A45" w:sz="1"/>
            </w:tcBorders>
            <w:shd w:fill="E6F4EC" w:val="clear"/>
            <w:tcMar>
              <w:top w:type="dxa" w:w="20"/>
              <w:left w:type="dxa" w:w="160"/>
              <w:bottom w:type="dxa" w:w="100"/>
              <w:right w:type="dxa" w:w="160"/>
            </w:tcMar>
          </w:tcPr>
          <w:p>
            <w:pPr>
              <w:spacing w:after="0" w:before="0"/>
            </w:pPr>
            <w:r>
              <w:rPr>
                <w:rFonts w:ascii="Arial" w:cs="Arial" w:eastAsia="Arial" w:hAnsi="Arial"/>
                <w:b/>
                <w:bCs/>
                <w:color w:val="1B3A5C"/>
                <w:sz w:val="22"/>
                <w:szCs w:val="22"/>
              </w:rPr>
              <w:t xml:space="preserve">Time to Production: </w:t>
            </w:r>
            <w:r>
              <w:rPr>
                <w:rFonts w:ascii="Arial" w:cs="Arial" w:eastAsia="Arial" w:hAnsi="Arial"/>
                <w:color w:val="111827"/>
                <w:sz w:val="22"/>
                <w:szCs w:val="22"/>
              </w:rPr>
              <w:t xml:space="preserve">8 weeks including testing, staging, and canary rollout</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Engineering Lead</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Security / Privacy</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Legal / Compliance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 </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 </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 </w:t>
            </w:r>
          </w:p>
        </w:tc>
      </w:tr>
      <w:tr>
        <w:tc>
          <w:tcPr>
            <w:tcW w:type="dxa" w:w="3120"/>
            <w:tcBorders>
              <w:top w:val="none" w:color="FFFFFF" w:sz="0"/>
              <w:left w:val="none" w:color="FFFFFF" w:sz="0"/>
              <w:bottom w:val="none" w:color="FFFFFF" w:sz="0"/>
              <w:right w:val="none" w:color="FFFFFF" w:sz="0"/>
            </w:tcBorders>
            <w:shd w:fill="FFFFFF" w:val="clear"/>
            <w:tcMar>
              <w:top w:type="dxa" w:w="200"/>
              <w:left w:type="dxa" w:w="140"/>
              <w:bottom w:type="dxa" w:w="80"/>
              <w:right w:type="dxa" w:w="140"/>
            </w:tcMar>
          </w:tcPr>
          <w:p>
            <w:pPr>
              <w:pBdr>
                <w:top w:val="single" w:color="D1D5DB" w:sz="1"/>
              </w:pBdr>
              <w:spacing w:after="0" w:before="80"/>
            </w:pPr>
            <w:r>
              <w:rPr>
                <w:rFonts w:ascii="Arial" w:cs="Arial" w:eastAsia="Arial" w:hAnsi="Arial"/>
                <w:color w:val="4B5563"/>
                <w:sz w:val="18"/>
                <w:szCs w:val="18"/>
              </w:rPr>
              <w:t xml:space="preserve">Signature / Date</w:t>
            </w:r>
          </w:p>
        </w:tc>
        <w:tc>
          <w:tcPr>
            <w:tcW w:type="dxa" w:w="3120"/>
            <w:tcBorders>
              <w:top w:val="none" w:color="FFFFFF" w:sz="0"/>
              <w:left w:val="none" w:color="FFFFFF" w:sz="0"/>
              <w:bottom w:val="none" w:color="FFFFFF" w:sz="0"/>
              <w:right w:val="none" w:color="FFFFFF" w:sz="0"/>
            </w:tcBorders>
            <w:shd w:fill="FFFFFF" w:val="clear"/>
            <w:tcMar>
              <w:top w:type="dxa" w:w="200"/>
              <w:left w:type="dxa" w:w="140"/>
              <w:bottom w:type="dxa" w:w="80"/>
              <w:right w:type="dxa" w:w="140"/>
            </w:tcMar>
          </w:tcPr>
          <w:p>
            <w:pPr>
              <w:pBdr>
                <w:top w:val="single" w:color="D1D5DB" w:sz="1"/>
              </w:pBdr>
              <w:spacing w:after="0" w:before="80"/>
            </w:pPr>
            <w:r>
              <w:rPr>
                <w:rFonts w:ascii="Arial" w:cs="Arial" w:eastAsia="Arial" w:hAnsi="Arial"/>
                <w:color w:val="4B5563"/>
                <w:sz w:val="18"/>
                <w:szCs w:val="18"/>
              </w:rPr>
              <w:t xml:space="preserve">Signature / Date</w:t>
            </w:r>
          </w:p>
        </w:tc>
        <w:tc>
          <w:tcPr>
            <w:tcW w:type="dxa" w:w="3120"/>
            <w:tcBorders>
              <w:top w:val="none" w:color="FFFFFF" w:sz="0"/>
              <w:left w:val="none" w:color="FFFFFF" w:sz="0"/>
              <w:bottom w:val="none" w:color="FFFFFF" w:sz="0"/>
              <w:right w:val="none" w:color="FFFFFF" w:sz="0"/>
            </w:tcBorders>
            <w:shd w:fill="FFFFFF" w:val="clear"/>
            <w:tcMar>
              <w:top w:type="dxa" w:w="200"/>
              <w:left w:type="dxa" w:w="140"/>
              <w:bottom w:type="dxa" w:w="80"/>
              <w:right w:type="dxa" w:w="140"/>
            </w:tcMar>
          </w:tcPr>
          <w:p>
            <w:pPr>
              <w:pBdr>
                <w:top w:val="single" w:color="D1D5DB" w:sz="1"/>
              </w:pBdr>
              <w:spacing w:after="0" w:before="80"/>
            </w:pPr>
            <w:r>
              <w:rPr>
                <w:rFonts w:ascii="Arial" w:cs="Arial" w:eastAsia="Arial" w:hAnsi="Arial"/>
                <w:color w:val="4B5563"/>
                <w:sz w:val="18"/>
                <w:szCs w:val="18"/>
              </w:rPr>
              <w:t xml:space="preserve">Signature / Date</w:t>
            </w:r>
          </w:p>
        </w:tc>
      </w:tr>
    </w:tbl>
    <w:p>
      <w:pPr>
        <w:spacing w:after="240" w:before="0"/>
      </w:pPr>
      <w:r>
        <w:t xml:space="preserve"/>
      </w:r>
    </w:p>
    <w:p>
      <w:pPr>
        <w:pBdr>
          <w:bottom w:val="single" w:color="E8501A" w:sz="6" w:space="1"/>
        </w:pBdr>
        <w:spacing w:after="160" w:before="0"/>
      </w:pPr>
      <w:r>
        <w:t xml:space="preserve"/>
      </w:r>
    </w:p>
    <w:p>
      <w:pPr>
        <w:spacing w:after="0" w:before="80"/>
        <w:jc w:val="center"/>
      </w:pPr>
      <w:r>
        <w:rPr>
          <w:rFonts w:ascii="Arial" w:cs="Arial" w:eastAsia="Arial" w:hAnsi="Arial"/>
          <w:b/>
          <w:bCs/>
          <w:color w:val="E8501A"/>
          <w:sz w:val="18"/>
          <w:szCs w:val="18"/>
        </w:rPr>
        <w:t xml:space="preserve">CONFIDENTIAL — FOR INTERNAL APPROVAL USE ONLY</w:t>
      </w:r>
    </w:p>
    <w:p>
      <w:pPr>
        <w:spacing w:after="0" w:before="40"/>
        <w:jc w:val="center"/>
      </w:pPr>
      <w:r>
        <w:rPr>
          <w:rFonts w:ascii="Arial" w:cs="Arial" w:eastAsia="Arial" w:hAnsi="Arial"/>
          <w:color w:val="4B5563"/>
          <w:sz w:val="18"/>
          <w:szCs w:val="18"/>
        </w:rPr>
        <w:t xml:space="preserve">Data Privacy Engineering Team  •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20"/>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r>
      <w:rPr>
        <w:rFonts w:ascii="Arial" w:cs="Arial" w:eastAsia="Arial" w:hAnsi="Arial"/>
        <w:color w:val="4B5563"/>
        <w:sz w:val="18"/>
        <w:szCs w:val="18"/>
      </w:rPr>
      <w:t xml:space="preserve">    |    Engineering — Data Privacy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before="0"/>
      <w:jc w:val="right"/>
    </w:pPr>
    <w:r>
      <w:rPr>
        <w:rFonts w:ascii="Arial" w:cs="Arial" w:eastAsia="Arial" w:hAnsi="Arial"/>
        <w:color w:val="4B5563"/>
        <w:sz w:val="18"/>
        <w:szCs w:val="18"/>
      </w:rPr>
      <w:t xml:space="preserve">CONFIDENTIAL  |  PII Redaction Library — GLiNER Approval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2026-04-22T05:45:12.445Z</dcterms:created>
  <dcterms:modified xsi:type="dcterms:W3CDTF">2026-04-22T05:45:12.445Z</dcterms:modified>
</cp:coreProperties>
</file>

<file path=docProps/custom.xml><?xml version="1.0" encoding="utf-8"?>
<Properties xmlns="http://schemas.openxmlformats.org/officeDocument/2006/custom-properties" xmlns:vt="http://schemas.openxmlformats.org/officeDocument/2006/docPropsVTypes"/>
</file>