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6691"/>
          <w:sz w:val="22"/>
        </w:rPr>
        <w:t>SYSTEM DESIGN &amp; IMPLEMENTATION GUIDE</w:t>
      </w:r>
    </w:p>
    <w:p>
      <w:pPr>
        <w:pStyle w:val="Title"/>
      </w:pPr>
      <w:r>
        <w:t>On-Premises MCP Test Data Platform</w:t>
      </w:r>
    </w:p>
    <w:p>
      <w:pPr>
        <w:jc w:val="center"/>
      </w:pPr>
      <w:r>
        <w:t>Architecture, scaling, security, decision analysis, and a Python reference implementation</w:t>
      </w:r>
    </w:p>
    <w:p>
      <w:pPr>
        <w:jc w:val="center"/>
      </w:pPr>
      <w:r>
        <w:t>Status: Draft | Prepared: October 20, 2026 | Scope: MCP alternative consumption path</w:t>
      </w:r>
    </w:p>
    <w:p/>
    <w:p>
      <w:pPr>
        <w:pStyle w:val="Heading1"/>
      </w:pPr>
      <w:r>
        <w:t>Executive summary</w:t>
      </w:r>
    </w:p>
    <w:p>
      <w:r>
        <w:t>The proposed platform offers two independent consumption paths: the existing UI/REST platform remains unchanged, and a new on-premises MCP service exposes equivalent business capabilities to AI agents built by consumer teams. The MCP implementation does not call the existing REST API implementation; it has its own tool/business/data-access code path and accesses the same authoritative data infrastructure where appropriate. The LLM/agent performs intent interpretation and orchestration. The MCP server exposes controlled tools and validates/executes operations; it does not itself make the LLM accurate or replace business rules.</w:t>
      </w:r>
    </w:p>
    <w:p>
      <w:r>
        <w:t>Recommendation: approve a limited pilot using search, reservation, and reservation-status tools. Use the official MCP Python SDK v2.x for the sample, pin versions for reproducible builds, run behind enterprise authentication, and validate consumer compatibility, concurrency, and data integrity before broad rollout.</w:t>
      </w:r>
    </w:p>
    <w:p>
      <w:pPr>
        <w:pStyle w:val="Heading1"/>
      </w:pPr>
      <w:r>
        <w:t>1. Business context and requirements</w:t>
      </w:r>
    </w:p>
    <w:p>
      <w:r>
        <w:t>The test data platform contains a large Elasticsearch index with technical data fields (illustrated with credit-card/bank-account test data). Consumers need to find and reserve test data, and may need to create or modify data when suitable records are unavailable.</w:t>
      </w:r>
    </w:p>
    <w:p>
      <w:pPr>
        <w:pStyle w:val="ListBullet"/>
      </w:pPr>
      <w:r>
        <w:t>Structured search through a UI or API for technical/business criteria.</w:t>
      </w:r>
    </w:p>
    <w:p>
      <w:pPr>
        <w:pStyle w:val="ListBullet"/>
      </w:pPr>
      <w:r>
        <w:t>Natural-language search for users who do not know field names or schema terminology.</w:t>
      </w:r>
    </w:p>
    <w:p>
      <w:pPr>
        <w:pStyle w:val="ListBullet"/>
      </w:pPr>
      <w:r>
        <w:t>Reservation with authoritative conflict prevention and clear confirmation.</w:t>
      </w:r>
    </w:p>
    <w:p>
      <w:pPr>
        <w:pStyle w:val="ListBullet"/>
      </w:pPr>
      <w:r>
        <w:t>Account creation when no suitable record exists, subject to validation/approval.</w:t>
      </w:r>
    </w:p>
    <w:p>
      <w:pPr>
        <w:pStyle w:val="ListBullet"/>
      </w:pPr>
      <w:r>
        <w:t>Operations on reserved data: transactions/payments in test environments, FICO/loyalty changes, credential/contact resets, demographic conditioning, and bulk actions.</w:t>
      </w:r>
    </w:p>
    <w:p>
      <w:pPr>
        <w:pStyle w:val="ListBullet"/>
      </w:pPr>
      <w:r>
        <w:t>Requests originating through AI agents, and potentially Slack/Jira/email integrations.</w:t>
      </w:r>
    </w:p>
    <w:p>
      <w:pPr>
        <w:pStyle w:val="ListBullet"/>
      </w:pPr>
      <w:r>
        <w:t>On-premises deployment first, with a path to AWS or GCP later.</w:t>
      </w:r>
    </w:p>
    <w:p>
      <w:pPr>
        <w:pStyle w:val="ListBullet"/>
      </w:pPr>
      <w:r>
        <w:t>Many consumer teams build their own agents; platform team owns the shared data capabilities.</w:t>
      </w:r>
    </w:p>
    <w:p>
      <w:pPr>
        <w:pStyle w:val="Heading1"/>
      </w:pPr>
      <w:r>
        <w:t>2. Goals and non-goals</w:t>
      </w:r>
    </w:p>
    <w:tbl>
      <w:tblPr>
        <w:tblStyle w:val="LightShading-Accent1"/>
        <w:tblW w:type="auto" w:w="0"/>
        <w:jc w:val="center"/>
        <w:tblLook w:firstColumn="1" w:firstRow="1" w:lastColumn="0" w:lastRow="0" w:noHBand="0" w:noVBand="1" w:val="04A0"/>
      </w:tblPr>
      <w:tblGrid>
        <w:gridCol w:w="5040"/>
        <w:gridCol w:w="5040"/>
      </w:tblGrid>
      <w:tr>
        <w:tc>
          <w:tcPr>
            <w:tcW w:type="dxa" w:w="4896"/>
          </w:tcPr>
          <w:p>
            <w:r>
              <w:rPr>
                <w:b/>
              </w:rPr>
              <w:t>Goals</w:t>
            </w:r>
          </w:p>
        </w:tc>
        <w:tc>
          <w:tcPr>
            <w:tcW w:type="dxa" w:w="4896"/>
          </w:tcPr>
          <w:p>
            <w:r>
              <w:rPr>
                <w:b/>
              </w:rPr>
              <w:t>Non-goals</w:t>
            </w:r>
          </w:p>
        </w:tc>
      </w:tr>
      <w:tr>
        <w:tc>
          <w:tcPr>
            <w:tcW w:type="dxa" w:w="4896"/>
            <w:vAlign w:val="center"/>
          </w:tcPr>
          <w:p>
            <w:r>
              <w:t>Provide standardized, discoverable tools to compatible AI agents.</w:t>
            </w:r>
          </w:p>
        </w:tc>
        <w:tc>
          <w:tcPr>
            <w:tcW w:type="dxa" w:w="4896"/>
            <w:vAlign w:val="center"/>
          </w:tcPr>
          <w:p>
            <w:r>
              <w:t>Replace the existing UI or REST APIs.</w:t>
            </w:r>
          </w:p>
        </w:tc>
      </w:tr>
      <w:tr>
        <w:tc>
          <w:tcPr>
            <w:tcW w:type="dxa" w:w="4896"/>
            <w:vAlign w:val="center"/>
          </w:tcPr>
          <w:p>
            <w:r>
              <w:t>Keep the MCP implementation separate from existing REST API code.</w:t>
            </w:r>
          </w:p>
        </w:tc>
        <w:tc>
          <w:tcPr>
            <w:tcW w:type="dxa" w:w="4896"/>
            <w:vAlign w:val="center"/>
          </w:tcPr>
          <w:p>
            <w:r>
              <w:t>Require all consumers to adopt MCP.</w:t>
            </w:r>
          </w:p>
        </w:tc>
      </w:tr>
      <w:tr>
        <w:tc>
          <w:tcPr>
            <w:tcW w:type="dxa" w:w="4896"/>
            <w:vAlign w:val="center"/>
          </w:tcPr>
          <w:p>
            <w:r>
              <w:t>Enforce the same data integrity and authorization policies across paths.</w:t>
            </w:r>
          </w:p>
        </w:tc>
        <w:tc>
          <w:tcPr>
            <w:tcW w:type="dxa" w:w="4896"/>
            <w:vAlign w:val="center"/>
          </w:tcPr>
          <w:p>
            <w:r>
              <w:t>Trust an LLM to authorize or confirm a write.</w:t>
            </w:r>
          </w:p>
        </w:tc>
      </w:tr>
      <w:tr>
        <w:tc>
          <w:tcPr>
            <w:tcW w:type="dxa" w:w="4896"/>
            <w:vAlign w:val="center"/>
          </w:tcPr>
          <w:p>
            <w:r>
              <w:t>Support on-prem deployment and future cloud portability.</w:t>
            </w:r>
          </w:p>
        </w:tc>
        <w:tc>
          <w:tcPr>
            <w:tcW w:type="dxa" w:w="4896"/>
            <w:vAlign w:val="center"/>
          </w:tcPr>
          <w:p>
            <w:r>
              <w:t>Bundle a large LLM into the MCP server container.</w:t>
            </w:r>
          </w:p>
        </w:tc>
      </w:tr>
      <w:tr>
        <w:tc>
          <w:tcPr>
            <w:tcW w:type="dxa" w:w="4896"/>
            <w:vAlign w:val="center"/>
          </w:tcPr>
          <w:p>
            <w:r>
              <w:t>Scale horizontally with controlled downstream load.</w:t>
            </w:r>
          </w:p>
        </w:tc>
        <w:tc>
          <w:tcPr>
            <w:tcW w:type="dxa" w:w="4896"/>
            <w:vAlign w:val="center"/>
          </w:tcPr>
          <w:p>
            <w:r>
              <w:t>Assume replicas alone solve Elasticsearch/DB bottlenecks.</w:t>
            </w:r>
          </w:p>
        </w:tc>
      </w:tr>
    </w:tbl>
    <w:p/>
    <w:p>
      <w:pPr>
        <w:pStyle w:val="Heading1"/>
      </w:pPr>
      <w:r>
        <w:t>3. Architecture and responsibility boundaries</w:t>
      </w:r>
    </w:p>
    <w:p>
      <w:pPr>
        <w:spacing w:after="0"/>
        <w:ind w:left="288"/>
      </w:pPr>
      <w:r>
        <w:rPr>
          <w:rFonts w:ascii="Consolas" w:hAnsi="Consolas"/>
          <w:color w:val="2D2D2D"/>
          <w:sz w:val="14"/>
        </w:rPr>
        <w:t>Consumer teams / AI agents</w:t>
        <w:br/>
        <w:t xml:space="preserve">        |</w:t>
        <w:br/>
        <w:t xml:space="preserve">        | MCP over HTTPS (Streamable HTTP)</w:t>
        <w:br/>
        <w:t xml:space="preserve">        v</w:t>
        <w:br/>
        <w:t>Enterprise ingress / load balancer</w:t>
        <w:br/>
        <w:t xml:space="preserve">  - TLS, identity verification, policy, rate limits</w:t>
        <w:br/>
        <w:t xml:space="preserve">        |</w:t>
        <w:br/>
        <w:t xml:space="preserve">        v</w:t>
        <w:br/>
        <w:t>MCP server replicas (stateless where practical)</w:t>
        <w:br/>
        <w:t xml:space="preserve">  - tool discovery and invocation</w:t>
        <w:br/>
        <w:t xml:space="preserve">  - input validation / output shaping</w:t>
        <w:br/>
        <w:t xml:space="preserve">  - per-operation authorization hooks</w:t>
        <w:br/>
        <w:t xml:space="preserve">        |</w:t>
        <w:br/>
        <w:t xml:space="preserve">        v</w:t>
        <w:br/>
        <w:t>MCP-specific business services and data-access modules</w:t>
        <w:br/>
        <w:t xml:space="preserve">  |                 |                 |</w:t>
        <w:br/>
        <w:t xml:space="preserve">  v                 v                 v</w:t>
        <w:br/>
        <w:t>Elasticsearch   Reservation DB   Account/conditioning services</w:t>
        <w:br/>
        <w:t xml:space="preserve">        |</w:t>
        <w:br/>
        <w:t xml:space="preserve">        v</w:t>
        <w:br/>
        <w:t>Audit, metrics, logs, traces, alerts</w:t>
      </w:r>
    </w:p>
    <w:p>
      <w:r>
        <w:t>The agent/LLM is responsible for interpreting natural language and choosing a workflow. MCP standardizes how a compatible client discovers and invokes tools. Business services remain the authority for validation, permissions, data correctness, atomic reservation, and operation status.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1944"/>
          </w:tcPr>
          <w:p>
            <w:r>
              <w:rPr>
                <w:b/>
              </w:rPr>
              <w:t>Component</w:t>
            </w:r>
          </w:p>
        </w:tc>
        <w:tc>
          <w:tcPr>
            <w:tcW w:type="dxa" w:w="4608"/>
          </w:tcPr>
          <w:p>
            <w:r>
              <w:rPr>
                <w:b/>
              </w:rPr>
              <w:t>Responsibility</w:t>
            </w:r>
          </w:p>
        </w:tc>
        <w:tc>
          <w:tcPr>
            <w:tcW w:type="dxa" w:w="3240"/>
          </w:tcPr>
          <w:p>
            <w:r>
              <w:rPr>
                <w:b/>
              </w:rPr>
              <w:t>State / dependency</w:t>
            </w:r>
          </w:p>
        </w:tc>
      </w:tr>
      <w:tr>
        <w:tc>
          <w:tcPr>
            <w:tcW w:type="dxa" w:w="1944"/>
            <w:vAlign w:val="center"/>
          </w:tcPr>
          <w:p>
            <w:r>
              <w:t>Consumer agent</w:t>
            </w:r>
          </w:p>
        </w:tc>
        <w:tc>
          <w:tcPr>
            <w:tcW w:type="dxa" w:w="4608"/>
            <w:vAlign w:val="center"/>
          </w:tcPr>
          <w:p>
            <w:r>
              <w:t>Understand intent; orchestrate tool calls; present outcomes.</w:t>
            </w:r>
          </w:p>
        </w:tc>
        <w:tc>
          <w:tcPr>
            <w:tcW w:type="dxa" w:w="3240"/>
            <w:vAlign w:val="center"/>
          </w:tcPr>
          <w:p>
            <w:r>
              <w:t>Agent-owned model and conversation state.</w:t>
            </w:r>
          </w:p>
        </w:tc>
      </w:tr>
      <w:tr>
        <w:tc>
          <w:tcPr>
            <w:tcW w:type="dxa" w:w="1944"/>
            <w:vAlign w:val="center"/>
          </w:tcPr>
          <w:p>
            <w:r>
              <w:t>Ingress / identity</w:t>
            </w:r>
          </w:p>
        </w:tc>
        <w:tc>
          <w:tcPr>
            <w:tcW w:type="dxa" w:w="4608"/>
            <w:vAlign w:val="center"/>
          </w:tcPr>
          <w:p>
            <w:r>
              <w:t>TLS, authenticate consumer, enforce scopes/roles and rate limits.</w:t>
            </w:r>
          </w:p>
        </w:tc>
        <w:tc>
          <w:tcPr>
            <w:tcW w:type="dxa" w:w="3240"/>
            <w:vAlign w:val="center"/>
          </w:tcPr>
          <w:p>
            <w:r>
              <w:t>Corporate identity provider and policy.</w:t>
            </w:r>
          </w:p>
        </w:tc>
      </w:tr>
      <w:tr>
        <w:tc>
          <w:tcPr>
            <w:tcW w:type="dxa" w:w="1944"/>
            <w:vAlign w:val="center"/>
          </w:tcPr>
          <w:p>
            <w:r>
              <w:t>MCP server</w:t>
            </w:r>
          </w:p>
        </w:tc>
        <w:tc>
          <w:tcPr>
            <w:tcW w:type="dxa" w:w="4608"/>
            <w:vAlign w:val="center"/>
          </w:tcPr>
          <w:p>
            <w:r>
              <w:t>Expose tools/schemas; validate arguments; return structured outcomes.</w:t>
            </w:r>
          </w:p>
        </w:tc>
        <w:tc>
          <w:tcPr>
            <w:tcW w:type="dxa" w:w="3240"/>
            <w:vAlign w:val="center"/>
          </w:tcPr>
          <w:p>
            <w:r>
              <w:t>Prefer stateless request handling.</w:t>
            </w:r>
          </w:p>
        </w:tc>
      </w:tr>
      <w:tr>
        <w:tc>
          <w:tcPr>
            <w:tcW w:type="dxa" w:w="1944"/>
            <w:vAlign w:val="center"/>
          </w:tcPr>
          <w:p>
            <w:r>
              <w:t>Search module</w:t>
            </w:r>
          </w:p>
        </w:tc>
        <w:tc>
          <w:tcPr>
            <w:tcW w:type="dxa" w:w="4608"/>
            <w:vAlign w:val="center"/>
          </w:tcPr>
          <w:p>
            <w:r>
              <w:t>Translate allowlisted business filters into bounded ES queries.</w:t>
            </w:r>
          </w:p>
        </w:tc>
        <w:tc>
          <w:tcPr>
            <w:tcW w:type="dxa" w:w="3240"/>
            <w:vAlign w:val="center"/>
          </w:tcPr>
          <w:p>
            <w:r>
              <w:t>Elasticsearch index/mapping.</w:t>
            </w:r>
          </w:p>
        </w:tc>
      </w:tr>
      <w:tr>
        <w:tc>
          <w:tcPr>
            <w:tcW w:type="dxa" w:w="1944"/>
            <w:vAlign w:val="center"/>
          </w:tcPr>
          <w:p>
            <w:r>
              <w:t>Reservation module</w:t>
            </w:r>
          </w:p>
        </w:tc>
        <w:tc>
          <w:tcPr>
            <w:tcW w:type="dxa" w:w="4608"/>
            <w:vAlign w:val="center"/>
          </w:tcPr>
          <w:p>
            <w:r>
              <w:t>Atomically claim/release records and report authoritative state.</w:t>
            </w:r>
          </w:p>
        </w:tc>
        <w:tc>
          <w:tcPr>
            <w:tcW w:type="dxa" w:w="3240"/>
            <w:vAlign w:val="center"/>
          </w:tcPr>
          <w:p>
            <w:r>
              <w:t>Shared reservation DB; unique constraint/transaction.</w:t>
            </w:r>
          </w:p>
        </w:tc>
      </w:tr>
      <w:tr>
        <w:tc>
          <w:tcPr>
            <w:tcW w:type="dxa" w:w="1944"/>
            <w:vAlign w:val="center"/>
          </w:tcPr>
          <w:p>
            <w:r>
              <w:t>Async job service</w:t>
            </w:r>
          </w:p>
        </w:tc>
        <w:tc>
          <w:tcPr>
            <w:tcW w:type="dxa" w:w="4608"/>
            <w:vAlign w:val="center"/>
          </w:tcPr>
          <w:p>
            <w:r>
              <w:t>Run bulk operations, retry safely, expose job status.</w:t>
            </w:r>
          </w:p>
        </w:tc>
        <w:tc>
          <w:tcPr>
            <w:tcW w:type="dxa" w:w="3240"/>
            <w:vAlign w:val="center"/>
          </w:tcPr>
          <w:p>
            <w:r>
              <w:t>Durable queue/job store.</w:t>
            </w:r>
          </w:p>
        </w:tc>
      </w:tr>
      <w:tr>
        <w:tc>
          <w:tcPr>
            <w:tcW w:type="dxa" w:w="1944"/>
            <w:vAlign w:val="center"/>
          </w:tcPr>
          <w:p>
            <w:r>
              <w:t>Observability</w:t>
            </w:r>
          </w:p>
        </w:tc>
        <w:tc>
          <w:tcPr>
            <w:tcW w:type="dxa" w:w="4608"/>
            <w:vAlign w:val="center"/>
          </w:tcPr>
          <w:p>
            <w:r>
              <w:t>Audit who did what, metrics, traces, alerting.</w:t>
            </w:r>
          </w:p>
        </w:tc>
        <w:tc>
          <w:tcPr>
            <w:tcW w:type="dxa" w:w="3240"/>
            <w:vAlign w:val="center"/>
          </w:tcPr>
          <w:p>
            <w:r>
              <w:t>Central logging/monitoring.</w:t>
            </w:r>
          </w:p>
        </w:tc>
      </w:tr>
    </w:tbl>
    <w:p/>
    <w:p>
      <w:pPr>
        <w:pStyle w:val="Heading1"/>
      </w:pPr>
      <w:r>
        <w:t>4. Example end-to-end request flow</w:t>
      </w:r>
    </w:p>
    <w:p>
      <w:pPr>
        <w:pStyle w:val="ListNumber"/>
      </w:pPr>
      <w:r>
        <w:t>A consumer asks its agent: “Find an active credit-card test account with FICO above 700 and reserve it for application APP-42.”</w:t>
      </w:r>
    </w:p>
    <w:p>
      <w:pPr>
        <w:pStyle w:val="ListNumber"/>
      </w:pPr>
      <w:r>
        <w:t>The agent interprets intent and calls search_test_data with structured criteria.</w:t>
      </w:r>
    </w:p>
    <w:p>
      <w:pPr>
        <w:pStyle w:val="ListNumber"/>
      </w:pPr>
      <w:r>
        <w:t>The MCP server validates ranges, enums, maximum result count, and caller permissions.</w:t>
      </w:r>
    </w:p>
    <w:p>
      <w:pPr>
        <w:pStyle w:val="ListNumber"/>
      </w:pPr>
      <w:r>
        <w:t>The MCP-specific search module issues a controlled Elasticsearch query; it does not accept arbitrary Elasticsearch DSL from the model.</w:t>
      </w:r>
    </w:p>
    <w:p>
      <w:pPr>
        <w:pStyle w:val="ListNumber"/>
      </w:pPr>
      <w:r>
        <w:t>The server returns a minimized set of eligible records with stable IDs and safe fields only.</w:t>
      </w:r>
    </w:p>
    <w:p>
      <w:pPr>
        <w:pStyle w:val="ListNumber"/>
      </w:pPr>
      <w:r>
        <w:t>After selecting a candidate, the agent invokes reserve_test_data.</w:t>
      </w:r>
    </w:p>
    <w:p>
      <w:pPr>
        <w:pStyle w:val="ListNumber"/>
      </w:pPr>
      <w:r>
        <w:t>The reservation service performs an atomic database operation. If another consumer already reserved the account, the operation returns already_reserved rather than false success.</w:t>
      </w:r>
    </w:p>
    <w:p>
      <w:pPr>
        <w:pStyle w:val="ListNumber"/>
      </w:pPr>
      <w:r>
        <w:t>The agent reports only the server-confirmed result. If no match exists, it can ask permission or invoke a separately authorized account-creation workflow.</w:t>
      </w:r>
    </w:p>
    <w:p>
      <w:pPr>
        <w:pStyle w:val="Heading1"/>
      </w:pPr>
      <w:r>
        <w:t>5. Initial tool contract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2232"/>
          </w:tcPr>
          <w:p>
            <w:r>
              <w:rPr>
                <w:b/>
              </w:rPr>
              <w:t>Tool</w:t>
            </w:r>
          </w:p>
        </w:tc>
        <w:tc>
          <w:tcPr>
            <w:tcW w:type="dxa" w:w="3528"/>
          </w:tcPr>
          <w:p>
            <w:r>
              <w:rPr>
                <w:b/>
              </w:rPr>
              <w:t>Inputs</w:t>
            </w:r>
          </w:p>
        </w:tc>
        <w:tc>
          <w:tcPr>
            <w:tcW w:type="dxa" w:w="4032"/>
          </w:tcPr>
          <w:p>
            <w:r>
              <w:rPr>
                <w:b/>
              </w:rPr>
              <w:t>Expected output / rules</w:t>
            </w:r>
          </w:p>
        </w:tc>
      </w:tr>
      <w:tr>
        <w:tc>
          <w:tcPr>
            <w:tcW w:type="dxa" w:w="2232"/>
            <w:vAlign w:val="center"/>
          </w:tcPr>
          <w:p>
            <w:r>
              <w:t>search_test_data</w:t>
            </w:r>
          </w:p>
        </w:tc>
        <w:tc>
          <w:tcPr>
            <w:tcW w:type="dxa" w:w="3528"/>
            <w:vAlign w:val="center"/>
          </w:tcPr>
          <w:p>
            <w:r>
              <w:t>min_fico_score, status, account_type, limit; later add allowlisted fields.</w:t>
            </w:r>
          </w:p>
        </w:tc>
        <w:tc>
          <w:tcPr>
            <w:tcW w:type="dxa" w:w="4032"/>
            <w:vAlign w:val="center"/>
          </w:tcPr>
          <w:p>
            <w:r>
              <w:t>Count and minimized result list; validate range/enums; limit max results; no arbitrary query DSL.</w:t>
            </w:r>
          </w:p>
        </w:tc>
      </w:tr>
      <w:tr>
        <w:tc>
          <w:tcPr>
            <w:tcW w:type="dxa" w:w="2232"/>
            <w:vAlign w:val="center"/>
          </w:tcPr>
          <w:p>
            <w:r>
              <w:t>reserve_test_data</w:t>
            </w:r>
          </w:p>
        </w:tc>
        <w:tc>
          <w:tcPr>
            <w:tcW w:type="dxa" w:w="3528"/>
            <w:vAlign w:val="center"/>
          </w:tcPr>
          <w:p>
            <w:r>
              <w:t>account_id, application_id; consumer identity from trusted auth context.</w:t>
            </w:r>
          </w:p>
        </w:tc>
        <w:tc>
          <w:tcPr>
            <w:tcW w:type="dxa" w:w="4032"/>
            <w:vAlign w:val="center"/>
          </w:tcPr>
          <w:p>
            <w:r>
              <w:t>success/failure, reservation_id, status; atomic operation and idempotency support.</w:t>
            </w:r>
          </w:p>
        </w:tc>
      </w:tr>
      <w:tr>
        <w:tc>
          <w:tcPr>
            <w:tcW w:type="dxa" w:w="2232"/>
            <w:vAlign w:val="center"/>
          </w:tcPr>
          <w:p>
            <w:r>
              <w:t>get_reservation_status</w:t>
            </w:r>
          </w:p>
        </w:tc>
        <w:tc>
          <w:tcPr>
            <w:tcW w:type="dxa" w:w="3528"/>
            <w:vAlign w:val="center"/>
          </w:tcPr>
          <w:p>
            <w:r>
              <w:t>account_id or reservation_id.</w:t>
            </w:r>
          </w:p>
        </w:tc>
        <w:tc>
          <w:tcPr>
            <w:tcW w:type="dxa" w:w="4032"/>
            <w:vAlign w:val="center"/>
          </w:tcPr>
          <w:p>
            <w:r>
              <w:t>Authoritative status, owner scope, timestamps; do not leak another team's reservation.</w:t>
            </w:r>
          </w:p>
        </w:tc>
      </w:tr>
      <w:tr>
        <w:tc>
          <w:tcPr>
            <w:tcW w:type="dxa" w:w="2232"/>
            <w:vAlign w:val="center"/>
          </w:tcPr>
          <w:p>
            <w:r>
              <w:t>create_test_account (phase 2)</w:t>
            </w:r>
          </w:p>
        </w:tc>
        <w:tc>
          <w:tcPr>
            <w:tcW w:type="dxa" w:w="3528"/>
            <w:vAlign w:val="center"/>
          </w:tcPr>
          <w:p>
            <w:r>
              <w:t>Approved business criteria and request/idempotency key.</w:t>
            </w:r>
          </w:p>
        </w:tc>
        <w:tc>
          <w:tcPr>
            <w:tcW w:type="dxa" w:w="4032"/>
            <w:vAlign w:val="center"/>
          </w:tcPr>
          <w:p>
            <w:r>
              <w:t>Creation job/result; validation and approval policy.</w:t>
            </w:r>
          </w:p>
        </w:tc>
      </w:tr>
      <w:tr>
        <w:tc>
          <w:tcPr>
            <w:tcW w:type="dxa" w:w="2232"/>
            <w:vAlign w:val="center"/>
          </w:tcPr>
          <w:p>
            <w:r>
              <w:t>condition_test_data (phase 2)</w:t>
            </w:r>
          </w:p>
        </w:tc>
        <w:tc>
          <w:tcPr>
            <w:tcW w:type="dxa" w:w="3528"/>
            <w:vAlign w:val="center"/>
          </w:tcPr>
          <w:p>
            <w:r>
              <w:t>Account ID, approved mutation type, bounded values.</w:t>
            </w:r>
          </w:p>
        </w:tc>
        <w:tc>
          <w:tcPr>
            <w:tcW w:type="dxa" w:w="4032"/>
            <w:vAlign w:val="center"/>
          </w:tcPr>
          <w:p>
            <w:r>
              <w:t>Validated change summary and audit reference.</w:t>
            </w:r>
          </w:p>
        </w:tc>
      </w:tr>
      <w:tr>
        <w:tc>
          <w:tcPr>
            <w:tcW w:type="dxa" w:w="2232"/>
            <w:vAlign w:val="center"/>
          </w:tcPr>
          <w:p>
            <w:r>
              <w:t>execute_bulk_operation (phase 3)</w:t>
            </w:r>
          </w:p>
        </w:tc>
        <w:tc>
          <w:tcPr>
            <w:tcW w:type="dxa" w:w="3528"/>
            <w:vAlign w:val="center"/>
          </w:tcPr>
          <w:p>
            <w:r>
              <w:t>Operation type, filtered scope, dry_run flag, idempotency key.</w:t>
            </w:r>
          </w:p>
        </w:tc>
        <w:tc>
          <w:tcPr>
            <w:tcW w:type="dxa" w:w="4032"/>
            <w:vAlign w:val="center"/>
          </w:tcPr>
          <w:p>
            <w:r>
              <w:t>Job ID, accepted/rejected status; async execution and progress/status tool.</w:t>
            </w:r>
          </w:p>
        </w:tc>
      </w:tr>
    </w:tbl>
    <w:p/>
    <w:p>
      <w:pPr>
        <w:pStyle w:val="Heading1"/>
      </w:pPr>
      <w:r>
        <w:t>6. MCP versus alternatives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1944"/>
          </w:tcPr>
          <w:p>
            <w:r>
              <w:rPr>
                <w:b/>
              </w:rPr>
              <w:t>Approach</w:t>
            </w:r>
          </w:p>
        </w:tc>
        <w:tc>
          <w:tcPr>
            <w:tcW w:type="dxa" w:w="3816"/>
          </w:tcPr>
          <w:p>
            <w:r>
              <w:rPr>
                <w:b/>
              </w:rPr>
              <w:t>Strength</w:t>
            </w:r>
          </w:p>
        </w:tc>
        <w:tc>
          <w:tcPr>
            <w:tcW w:type="dxa" w:w="4032"/>
          </w:tcPr>
          <w:p>
            <w:r>
              <w:rPr>
                <w:b/>
              </w:rPr>
              <w:t>Trade-off / fit</w:t>
            </w:r>
          </w:p>
        </w:tc>
      </w:tr>
      <w:tr>
        <w:tc>
          <w:tcPr>
            <w:tcW w:type="dxa" w:w="1944"/>
            <w:vAlign w:val="center"/>
          </w:tcPr>
          <w:p>
            <w:r>
              <w:t>MCP server</w:t>
            </w:r>
          </w:p>
        </w:tc>
        <w:tc>
          <w:tcPr>
            <w:tcW w:type="dxa" w:w="3816"/>
            <w:vAlign w:val="center"/>
          </w:tcPr>
          <w:p>
            <w:r>
              <w:t>Standard tool discovery/invocation across compatible agent clients and frameworks.</w:t>
            </w:r>
          </w:p>
        </w:tc>
        <w:tc>
          <w:tcPr>
            <w:tcW w:type="dxa" w:w="4032"/>
            <w:vAlign w:val="center"/>
          </w:tcPr>
          <w:p>
            <w:r>
              <w:t>Strong candidate when many teams build agents; client/SDK compatibility still must be tested.</w:t>
            </w:r>
          </w:p>
        </w:tc>
      </w:tr>
      <w:tr>
        <w:tc>
          <w:tcPr>
            <w:tcW w:type="dxa" w:w="1944"/>
            <w:vAlign w:val="center"/>
          </w:tcPr>
          <w:p>
            <w:r>
              <w:t>REST + OpenAPI</w:t>
            </w:r>
          </w:p>
        </w:tc>
        <w:tc>
          <w:tcPr>
            <w:tcW w:type="dxa" w:w="3816"/>
            <w:vAlign w:val="center"/>
          </w:tcPr>
          <w:p>
            <w:r>
              <w:t>Strong conventional API contract and broad tooling.</w:t>
            </w:r>
          </w:p>
        </w:tc>
        <w:tc>
          <w:tcPr>
            <w:tcW w:type="dxa" w:w="4032"/>
            <w:vAlign w:val="center"/>
          </w:tcPr>
          <w:p>
            <w:r>
              <w:t>Can work well for agents too, but teams may need framework-specific integration or tool conversion.</w:t>
            </w:r>
          </w:p>
        </w:tc>
      </w:tr>
      <w:tr>
        <w:tc>
          <w:tcPr>
            <w:tcW w:type="dxa" w:w="1944"/>
            <w:vAlign w:val="center"/>
          </w:tcPr>
          <w:p>
            <w:r>
              <w:t>Native function calling</w:t>
            </w:r>
          </w:p>
        </w:tc>
        <w:tc>
          <w:tcPr>
            <w:tcW w:type="dxa" w:w="3816"/>
            <w:vAlign w:val="center"/>
          </w:tcPr>
          <w:p>
            <w:r>
              <w:t>Simple inside one agent application.</w:t>
            </w:r>
          </w:p>
        </w:tc>
        <w:tc>
          <w:tcPr>
            <w:tcW w:type="dxa" w:w="4032"/>
            <w:vAlign w:val="center"/>
          </w:tcPr>
          <w:p>
            <w:r>
              <w:t>Not a shared protocol by itself; common distribution/discovery must be built or adopted.</w:t>
            </w:r>
          </w:p>
        </w:tc>
      </w:tr>
      <w:tr>
        <w:tc>
          <w:tcPr>
            <w:tcW w:type="dxa" w:w="1944"/>
            <w:vAlign w:val="center"/>
          </w:tcPr>
          <w:p>
            <w:r>
              <w:t>A2A</w:t>
            </w:r>
          </w:p>
        </w:tc>
        <w:tc>
          <w:tcPr>
            <w:tcW w:type="dxa" w:w="3816"/>
            <w:vAlign w:val="center"/>
          </w:tcPr>
          <w:p>
            <w:r>
              <w:t>Communication/delegation between independent agents.</w:t>
            </w:r>
          </w:p>
        </w:tc>
        <w:tc>
          <w:tcPr>
            <w:tcW w:type="dxa" w:w="4032"/>
            <w:vAlign w:val="center"/>
          </w:tcPr>
          <w:p>
            <w:r>
              <w:t>Complementary; not a direct substitute for agent-to-tool access.</w:t>
            </w:r>
          </w:p>
        </w:tc>
      </w:tr>
    </w:tbl>
    <w:p/>
    <w:p>
      <w:r>
        <w:t>Decision: keep REST/UI unchanged; pilot MCP as an alternative consumption interface. Do not adopt MCP solely because it is fashionable. Validate reduced consumer integration effort, client compatibility, security, and reliability.</w:t>
      </w:r>
    </w:p>
    <w:p>
      <w:pPr>
        <w:pStyle w:val="Heading1"/>
      </w:pPr>
      <w:r>
        <w:t>7. On-premises deployment</w:t>
      </w:r>
    </w:p>
    <w:p>
      <w:r>
        <w:t>Deploy as a container in the existing supported environment: VM + container runtime, Kubernetes, or OpenShift. Do not introduce Kubernetes solely for MCP. Place the service behind the approved internal ingress/reverse proxy. Terminate TLS and enforce identity/authorization at an approved gateway or in the application using the official SDK's supported authorization integration.</w:t>
      </w:r>
    </w:p>
    <w:p>
      <w:pPr>
        <w:pStyle w:val="ListBullet"/>
      </w:pPr>
      <w:r>
        <w:t>Use internal DNS and private connectivity to Elasticsearch and the reservation database.</w:t>
      </w:r>
    </w:p>
    <w:p>
      <w:pPr>
        <w:pStyle w:val="ListBullet"/>
      </w:pPr>
      <w:r>
        <w:t>Keep secrets in the corporate vault/secret manager; do not bake credentials into images or source.</w:t>
      </w:r>
    </w:p>
    <w:p>
      <w:pPr>
        <w:pStyle w:val="ListBullet"/>
      </w:pPr>
      <w:r>
        <w:t>Use separate dev/test/prod configuration and least-privilege service identities.</w:t>
      </w:r>
    </w:p>
    <w:p>
      <w:pPr>
        <w:pStyle w:val="ListBullet"/>
      </w:pPr>
      <w:r>
        <w:t>For remote agents, use Streamable HTTP over HTTPS; stdio is appropriate for local child-process integrations.</w:t>
      </w:r>
    </w:p>
    <w:p>
      <w:pPr>
        <w:pStyle w:val="ListBullet"/>
      </w:pPr>
      <w:r>
        <w:t>Validate Origin and apply the SDK's transport security protections; do not expose an unauthenticated development server.</w:t>
      </w:r>
    </w:p>
    <w:p>
      <w:pPr>
        <w:pStyle w:val="ListBullet"/>
      </w:pPr>
      <w:r>
        <w:t>Package the app and config separately so the same image can be moved to AWS/GCP with environment-specific changes.</w:t>
      </w:r>
    </w:p>
    <w:p>
      <w:pPr>
        <w:pStyle w:val="Heading1"/>
      </w:pPr>
      <w:r>
        <w:t>8. Scaling to hundreds of agents</w:t>
      </w:r>
    </w:p>
    <w:p>
      <w:r>
        <w:t>The number of registered agents is not the same as peak concurrent requests. Capacity should be set using measured request rate, concurrency, response-time targets, query cost, and backend connection budgets.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1944"/>
          </w:tcPr>
          <w:p>
            <w:r>
              <w:rPr>
                <w:b/>
              </w:rPr>
              <w:t>Setting</w:t>
            </w:r>
          </w:p>
        </w:tc>
        <w:tc>
          <w:tcPr>
            <w:tcW w:type="dxa" w:w="3600"/>
          </w:tcPr>
          <w:p>
            <w:r>
              <w:rPr>
                <w:b/>
              </w:rPr>
              <w:t>Pilot starting point (illustrative)</w:t>
            </w:r>
          </w:p>
        </w:tc>
        <w:tc>
          <w:tcPr>
            <w:tcW w:type="dxa" w:w="4248"/>
          </w:tcPr>
          <w:p>
            <w:r>
              <w:rPr>
                <w:b/>
              </w:rPr>
              <w:t>Validation required</w:t>
            </w:r>
          </w:p>
        </w:tc>
      </w:tr>
      <w:tr>
        <w:tc>
          <w:tcPr>
            <w:tcW w:type="dxa" w:w="1944"/>
            <w:vAlign w:val="center"/>
          </w:tcPr>
          <w:p>
            <w:r>
              <w:t>Replicas</w:t>
            </w:r>
          </w:p>
        </w:tc>
        <w:tc>
          <w:tcPr>
            <w:tcW w:type="dxa" w:w="3600"/>
            <w:vAlign w:val="center"/>
          </w:tcPr>
          <w:p>
            <w:r>
              <w:t>2</w:t>
            </w:r>
          </w:p>
        </w:tc>
        <w:tc>
          <w:tcPr>
            <w:tcW w:type="dxa" w:w="4248"/>
            <w:vAlign w:val="center"/>
          </w:tcPr>
          <w:p>
            <w:r>
              <w:t>Pod/node failure test; rolling deploy; load balancer behavior.</w:t>
            </w:r>
          </w:p>
        </w:tc>
      </w:tr>
      <w:tr>
        <w:tc>
          <w:tcPr>
            <w:tcW w:type="dxa" w:w="1944"/>
            <w:vAlign w:val="center"/>
          </w:tcPr>
          <w:p>
            <w:r>
              <w:t>CPU request</w:t>
            </w:r>
          </w:p>
        </w:tc>
        <w:tc>
          <w:tcPr>
            <w:tcW w:type="dxa" w:w="3600"/>
            <w:vAlign w:val="center"/>
          </w:tcPr>
          <w:p>
            <w:r>
              <w:t>0.25–0.5 vCPU per replica</w:t>
            </w:r>
          </w:p>
        </w:tc>
        <w:tc>
          <w:tcPr>
            <w:tcW w:type="dxa" w:w="4248"/>
            <w:vAlign w:val="center"/>
          </w:tcPr>
          <w:p>
            <w:r>
              <w:t>CPU saturation and queueing under realistic payloads.</w:t>
            </w:r>
          </w:p>
        </w:tc>
      </w:tr>
      <w:tr>
        <w:tc>
          <w:tcPr>
            <w:tcW w:type="dxa" w:w="1944"/>
            <w:vAlign w:val="center"/>
          </w:tcPr>
          <w:p>
            <w:r>
              <w:t>Memory request</w:t>
            </w:r>
          </w:p>
        </w:tc>
        <w:tc>
          <w:tcPr>
            <w:tcW w:type="dxa" w:w="3600"/>
            <w:vAlign w:val="center"/>
          </w:tcPr>
          <w:p>
            <w:r>
              <w:t>0.5–1 GiB per replica</w:t>
            </w:r>
          </w:p>
        </w:tc>
        <w:tc>
          <w:tcPr>
            <w:tcW w:type="dxa" w:w="4248"/>
            <w:vAlign w:val="center"/>
          </w:tcPr>
          <w:p>
            <w:r>
              <w:t>Python/Java runtime profile; leak and burst test.</w:t>
            </w:r>
          </w:p>
        </w:tc>
      </w:tr>
      <w:tr>
        <w:tc>
          <w:tcPr>
            <w:tcW w:type="dxa" w:w="1944"/>
            <w:vAlign w:val="center"/>
          </w:tcPr>
          <w:p>
            <w:r>
              <w:t>Memory limit</w:t>
            </w:r>
          </w:p>
        </w:tc>
        <w:tc>
          <w:tcPr>
            <w:tcW w:type="dxa" w:w="3600"/>
            <w:vAlign w:val="center"/>
          </w:tcPr>
          <w:p>
            <w:r>
              <w:t>1–2 GiB per replica</w:t>
            </w:r>
          </w:p>
        </w:tc>
        <w:tc>
          <w:tcPr>
            <w:tcW w:type="dxa" w:w="4248"/>
            <w:vAlign w:val="center"/>
          </w:tcPr>
          <w:p>
            <w:r>
              <w:t>OOM behavior and headroom under peak concurrency.</w:t>
            </w:r>
          </w:p>
        </w:tc>
      </w:tr>
      <w:tr>
        <w:tc>
          <w:tcPr>
            <w:tcW w:type="dxa" w:w="1944"/>
            <w:vAlign w:val="center"/>
          </w:tcPr>
          <w:p>
            <w:r>
              <w:t>Transport</w:t>
            </w:r>
          </w:p>
        </w:tc>
        <w:tc>
          <w:tcPr>
            <w:tcW w:type="dxa" w:w="3600"/>
            <w:vAlign w:val="center"/>
          </w:tcPr>
          <w:p>
            <w:r>
              <w:t>Streamable HTTP</w:t>
            </w:r>
          </w:p>
        </w:tc>
        <w:tc>
          <w:tcPr>
            <w:tcW w:type="dxa" w:w="4248"/>
            <w:vAlign w:val="center"/>
          </w:tcPr>
          <w:p>
            <w:r>
              <w:t>Consumer SDK compatibility and connection behavior.</w:t>
            </w:r>
          </w:p>
        </w:tc>
      </w:tr>
      <w:tr>
        <w:tc>
          <w:tcPr>
            <w:tcW w:type="dxa" w:w="1944"/>
            <w:vAlign w:val="center"/>
          </w:tcPr>
          <w:p>
            <w:r>
              <w:t>Connection pools</w:t>
            </w:r>
          </w:p>
        </w:tc>
        <w:tc>
          <w:tcPr>
            <w:tcW w:type="dxa" w:w="3600"/>
            <w:vAlign w:val="center"/>
          </w:tcPr>
          <w:p>
            <w:r>
              <w:t>Bounded; size from backend budget</w:t>
            </w:r>
          </w:p>
        </w:tc>
        <w:tc>
          <w:tcPr>
            <w:tcW w:type="dxa" w:w="4248"/>
            <w:vAlign w:val="center"/>
          </w:tcPr>
          <w:p>
            <w:r>
              <w:t>Total connections across all replicas must fit DB/ES limits.</w:t>
            </w:r>
          </w:p>
        </w:tc>
      </w:tr>
      <w:tr>
        <w:tc>
          <w:tcPr>
            <w:tcW w:type="dxa" w:w="1944"/>
            <w:vAlign w:val="center"/>
          </w:tcPr>
          <w:p>
            <w:r>
              <w:t>Rate limits</w:t>
            </w:r>
          </w:p>
        </w:tc>
        <w:tc>
          <w:tcPr>
            <w:tcW w:type="dxa" w:w="3600"/>
            <w:vAlign w:val="center"/>
          </w:tcPr>
          <w:p>
            <w:r>
              <w:t>Per consumer + operation</w:t>
            </w:r>
          </w:p>
        </w:tc>
        <w:tc>
          <w:tcPr>
            <w:tcW w:type="dxa" w:w="4248"/>
            <w:vAlign w:val="center"/>
          </w:tcPr>
          <w:p>
            <w:r>
              <w:t>Fairness and burst behavior.</w:t>
            </w:r>
          </w:p>
        </w:tc>
      </w:tr>
      <w:tr>
        <w:tc>
          <w:tcPr>
            <w:tcW w:type="dxa" w:w="1944"/>
            <w:vAlign w:val="center"/>
          </w:tcPr>
          <w:p>
            <w:r>
              <w:t>Bulk work</w:t>
            </w:r>
          </w:p>
        </w:tc>
        <w:tc>
          <w:tcPr>
            <w:tcW w:type="dxa" w:w="3600"/>
            <w:vAlign w:val="center"/>
          </w:tcPr>
          <w:p>
            <w:r>
              <w:t>Async job + job ID</w:t>
            </w:r>
          </w:p>
        </w:tc>
        <w:tc>
          <w:tcPr>
            <w:tcW w:type="dxa" w:w="4248"/>
            <w:vAlign w:val="center"/>
          </w:tcPr>
          <w:p>
            <w:r>
              <w:t>Retry, cancellation, backpressure, progress, idempotency.</w:t>
            </w:r>
          </w:p>
        </w:tc>
      </w:tr>
    </w:tbl>
    <w:p/>
    <w:p>
      <w:r>
        <w:t>These are starting estimates, not production sizing guarantees. Scale MCP replicas only until downstream limits are reached; also tune Elasticsearch queries, DB transactions, caching where safe, and async work queues.</w:t>
      </w:r>
    </w:p>
    <w:p>
      <w:pPr>
        <w:pStyle w:val="Heading1"/>
      </w:pPr>
      <w:r>
        <w:t>9. Correctness, consistency, and safety</w:t>
      </w:r>
    </w:p>
    <w:p>
      <w:pPr>
        <w:pStyle w:val="ListBullet"/>
      </w:pPr>
      <w:r>
        <w:t>LLM interpretation is probabilistic; tool execution and business rules must be deterministic and validated.</w:t>
      </w:r>
    </w:p>
    <w:p>
      <w:pPr>
        <w:pStyle w:val="ListBullet"/>
      </w:pPr>
      <w:r>
        <w:t>Never trust tool availability as authorization. Authorize every operation against the authenticated consumer and requested resource.</w:t>
      </w:r>
    </w:p>
    <w:p>
      <w:pPr>
        <w:pStyle w:val="ListBullet"/>
      </w:pPr>
      <w:r>
        <w:t>Reservations must use a shared authoritative database and atomic transaction/unique constraint. A read-then-write check without atomicity is unsafe.</w:t>
      </w:r>
    </w:p>
    <w:p>
      <w:pPr>
        <w:pStyle w:val="ListBullet"/>
      </w:pPr>
      <w:r>
        <w:t>Use idempotency keys for mutations and stable operation IDs for long-running jobs.</w:t>
      </w:r>
    </w:p>
    <w:p>
      <w:pPr>
        <w:pStyle w:val="ListBullet"/>
      </w:pPr>
      <w:r>
        <w:t>Return explicit outcomes: success, not found, already reserved, validation error, forbidden, retryable failure, or operation pending.</w:t>
      </w:r>
    </w:p>
    <w:p>
      <w:pPr>
        <w:pStyle w:val="ListBullet"/>
      </w:pPr>
      <w:r>
        <w:t>Expose only necessary test fields. Never return secrets, real payment credentials, full card numbers, or unnecessary PII.</w:t>
      </w:r>
    </w:p>
    <w:p>
      <w:pPr>
        <w:pStyle w:val="ListBullet"/>
      </w:pPr>
      <w:r>
        <w:t>Audit consumer identity, tool, target identifier, policy decision, outcome, correlation ID, and timestamp; avoid logging sensitive request payloads.</w:t>
      </w:r>
    </w:p>
    <w:p>
      <w:pPr>
        <w:pStyle w:val="Heading1"/>
      </w:pPr>
      <w:r>
        <w:t>10. Sample Python MCP server</w:t>
      </w:r>
    </w:p>
    <w:p>
      <w:r>
        <w:t>The companion ZIP contains a runnable reference project. It targets the official MCP Python SDK v2.x (Python 3.11+) and includes three tools: search_test_data, reserve_test_data, and get_reservation_status. It uses sample data by default and SQLite for local reservation demonstration; it can query Elasticsearch when ELASTICSEARCH_URL is configured.</w:t>
      </w:r>
    </w:p>
    <w:p>
      <w:pPr>
        <w:pStyle w:val="Heading2"/>
      </w:pPr>
      <w:r>
        <w:t>10.1 Install and run locally</w:t>
      </w:r>
    </w:p>
    <w:p>
      <w:pPr>
        <w:spacing w:after="0"/>
        <w:ind w:left="288"/>
      </w:pPr>
      <w:r>
        <w:rPr>
          <w:rFonts w:ascii="Consolas" w:hAnsi="Consolas"/>
          <w:color w:val="2D2D2D"/>
          <w:sz w:val="14"/>
        </w:rPr>
        <w:t>python -m venv .venv</w:t>
        <w:br/>
        <w:t>source .venv/bin/activate          # Windows: .venv\\Scripts\\activate</w:t>
        <w:br/>
        <w:t>pip install -r requirements.txt</w:t>
        <w:br/>
        <w:t>python server.py                   # stdio transport; use an MCP host/Inspector</w:t>
        <w:br/>
        <w:t># Development Inspector (requires uv and Node.js/npx):</w:t>
        <w:br/>
        <w:t>uv run mcp dev server.py</w:t>
      </w:r>
    </w:p>
    <w:p>
      <w:pPr>
        <w:pStyle w:val="Heading2"/>
      </w:pPr>
      <w:r>
        <w:t>10.2 Run as an on-prem HTTP service</w:t>
      </w:r>
    </w:p>
    <w:p>
      <w:pPr>
        <w:spacing w:after="0"/>
        <w:ind w:left="288"/>
      </w:pPr>
      <w:r>
        <w:rPr>
          <w:rFonts w:ascii="Consolas" w:hAnsi="Consolas"/>
          <w:color w:val="2D2D2D"/>
          <w:sz w:val="14"/>
        </w:rPr>
        <w:t>python -c "from server import mcp; mcp.run(transport='streamable-http', host='127.0.0.1', port=8000, stateless_http=True, json_response=True)"</w:t>
        <w:br/>
        <w:t># MCP endpoint locally: http://127.0.0.1:8000/mcp</w:t>
      </w:r>
    </w:p>
    <w:p>
      <w:r>
        <w:t>For container deployment the example binds to 0.0.0.0 inside the container but Compose publishes only 127.0.0.1:8000 on the host. For shared use, place it behind an authenticated TLS gateway and configure authorization. The sample is intentionally not production-ready.</w:t>
      </w:r>
    </w:p>
    <w:p>
      <w:pPr>
        <w:pStyle w:val="Heading2"/>
      </w:pPr>
      <w:r>
        <w:t>10.3 Core tool example</w:t>
      </w:r>
    </w:p>
    <w:p>
      <w:pPr>
        <w:spacing w:after="0"/>
        <w:ind w:left="288"/>
      </w:pPr>
      <w:r>
        <w:rPr>
          <w:rFonts w:ascii="Consolas" w:hAnsi="Consolas"/>
          <w:color w:val="2D2D2D"/>
          <w:sz w:val="14"/>
        </w:rPr>
        <w:t>from mcp.server import MCPServer</w:t>
        <w:br/>
        <w:t>mcp = MCPServer("test-data-platform")</w:t>
        <w:br/>
        <w:br/>
        <w:t>@mcp.tool()</w:t>
        <w:br/>
        <w:t>def search_test_data(min_fico_score: int = 700, status: str = "active",</w:t>
        <w:br/>
        <w:t xml:space="preserve">                     account_type: str = "credit_card", limit: int = 10) -&gt; str:</w:t>
        <w:br/>
        <w:t xml:space="preserve">    """Search eligible test accounts by validated business criteria."""</w:t>
        <w:br/>
        <w:t xml:space="preserve">    # Validate bounds and allowlisted enums; build a controlled ES query.</w:t>
        <w:br/>
        <w:t xml:space="preserve">    # Return minimized fields only.</w:t>
        <w:br/>
        <w:t xml:space="preserve">    ...</w:t>
        <w:br/>
        <w:br/>
        <w:t>@mcp.tool()</w:t>
        <w:br/>
        <w:t>def reserve_test_data(account_id: str, consumer_id: str,</w:t>
        <w:br/>
        <w:t xml:space="preserve">                      application_id: str) -&gt; str:</w:t>
        <w:br/>
        <w:t xml:space="preserve">    """Atomically reserve one account for an identified consumer/application."""</w:t>
        <w:br/>
        <w:t xml:space="preserve">    # In production, derive identity from a trusted auth context, not arguments.</w:t>
        <w:br/>
        <w:t xml:space="preserve">    # Use an atomic transaction/unique constraint in the shared reservation DB.</w:t>
        <w:br/>
        <w:t xml:space="preserve">    ...</w:t>
        <w:br/>
        <w:br/>
        <w:t>if __name__ == "__main__":</w:t>
        <w:br/>
        <w:t xml:space="preserve">    mcp.run()</w:t>
      </w:r>
    </w:p>
    <w:p>
      <w:r>
        <w:t>The complete implementation is in the ZIP rather than being repeated here. It is an educational baseline, not a security-certified or production-complete service.</w:t>
      </w:r>
    </w:p>
    <w:p>
      <w:pPr>
        <w:pStyle w:val="Heading1"/>
      </w:pPr>
      <w:r>
        <w:t>11. Sample project files</w:t>
      </w:r>
    </w:p>
    <w:tbl>
      <w:tblPr>
        <w:tblStyle w:val="LightShading-Accent1"/>
        <w:tblW w:type="auto" w:w="0"/>
        <w:jc w:val="center"/>
        <w:tblLook w:firstColumn="1" w:firstRow="1" w:lastColumn="0" w:lastRow="0" w:noHBand="0" w:noVBand="1" w:val="04A0"/>
      </w:tblPr>
      <w:tblGrid>
        <w:gridCol w:w="5040"/>
        <w:gridCol w:w="5040"/>
      </w:tblGrid>
      <w:tr>
        <w:tc>
          <w:tcPr>
            <w:tcW w:type="dxa" w:w="2880"/>
          </w:tcPr>
          <w:p>
            <w:r>
              <w:rPr>
                <w:b/>
              </w:rPr>
              <w:t>File</w:t>
            </w:r>
          </w:p>
        </w:tc>
        <w:tc>
          <w:tcPr>
            <w:tcW w:type="dxa" w:w="6912"/>
          </w:tcPr>
          <w:p>
            <w:r>
              <w:rPr>
                <w:b/>
              </w:rPr>
              <w:t>Purpose</w:t>
            </w:r>
          </w:p>
        </w:tc>
      </w:tr>
      <w:tr>
        <w:tc>
          <w:tcPr>
            <w:tcW w:type="dxa" w:w="2880"/>
            <w:vAlign w:val="center"/>
          </w:tcPr>
          <w:p>
            <w:r>
              <w:t>server.py</w:t>
            </w:r>
          </w:p>
        </w:tc>
        <w:tc>
          <w:tcPr>
            <w:tcW w:type="dxa" w:w="6912"/>
            <w:vAlign w:val="center"/>
          </w:tcPr>
          <w:p>
            <w:r>
              <w:t>MCPServer v2 tool definitions, demo search, optional Elasticsearch query, SQLite atomic reservation demo.</w:t>
            </w:r>
          </w:p>
        </w:tc>
      </w:tr>
      <w:tr>
        <w:tc>
          <w:tcPr>
            <w:tcW w:type="dxa" w:w="2880"/>
            <w:vAlign w:val="center"/>
          </w:tcPr>
          <w:p>
            <w:r>
              <w:t>requirements.txt</w:t>
            </w:r>
          </w:p>
        </w:tc>
        <w:tc>
          <w:tcPr>
            <w:tcW w:type="dxa" w:w="6912"/>
            <w:vAlign w:val="center"/>
          </w:tcPr>
          <w:p>
            <w:r>
              <w:t>Official MCP Python SDK v2.x and optional Elasticsearch client.</w:t>
            </w:r>
          </w:p>
        </w:tc>
      </w:tr>
      <w:tr>
        <w:tc>
          <w:tcPr>
            <w:tcW w:type="dxa" w:w="2880"/>
            <w:vAlign w:val="center"/>
          </w:tcPr>
          <w:p>
            <w:r>
              <w:t>Dockerfile</w:t>
            </w:r>
          </w:p>
        </w:tc>
        <w:tc>
          <w:tcPr>
            <w:tcW w:type="dxa" w:w="6912"/>
            <w:vAlign w:val="center"/>
          </w:tcPr>
          <w:p>
            <w:r>
              <w:t>Non-root container image.</w:t>
            </w:r>
          </w:p>
        </w:tc>
      </w:tr>
      <w:tr>
        <w:tc>
          <w:tcPr>
            <w:tcW w:type="dxa" w:w="2880"/>
            <w:vAlign w:val="center"/>
          </w:tcPr>
          <w:p>
            <w:r>
              <w:t>docker-compose.yml</w:t>
            </w:r>
          </w:p>
        </w:tc>
        <w:tc>
          <w:tcPr>
            <w:tcW w:type="dxa" w:w="6912"/>
            <w:vAlign w:val="center"/>
          </w:tcPr>
          <w:p>
            <w:r>
              <w:t>Local container launch with host port bound to loopback.</w:t>
            </w:r>
          </w:p>
        </w:tc>
      </w:tr>
      <w:tr>
        <w:tc>
          <w:tcPr>
            <w:tcW w:type="dxa" w:w="2880"/>
            <w:vAlign w:val="center"/>
          </w:tcPr>
          <w:p>
            <w:r>
              <w:t>.env.example</w:t>
            </w:r>
          </w:p>
        </w:tc>
        <w:tc>
          <w:tcPr>
            <w:tcW w:type="dxa" w:w="6912"/>
            <w:vAlign w:val="center"/>
          </w:tcPr>
          <w:p>
            <w:r>
              <w:t>Environment variables and production cautions.</w:t>
            </w:r>
          </w:p>
        </w:tc>
      </w:tr>
      <w:tr>
        <w:tc>
          <w:tcPr>
            <w:tcW w:type="dxa" w:w="2880"/>
            <w:vAlign w:val="center"/>
          </w:tcPr>
          <w:p>
            <w:r>
              <w:t>README.md</w:t>
            </w:r>
          </w:p>
        </w:tc>
        <w:tc>
          <w:tcPr>
            <w:tcW w:type="dxa" w:w="6912"/>
            <w:vAlign w:val="center"/>
          </w:tcPr>
          <w:p>
            <w:r>
              <w:t>Run commands, tools, assumptions, and production gaps.</w:t>
            </w:r>
          </w:p>
        </w:tc>
      </w:tr>
    </w:tbl>
    <w:p/>
    <w:p>
      <w:pPr>
        <w:pStyle w:val="Heading1"/>
      </w:pPr>
      <w:r>
        <w:t>12. Security and production readiness checklist</w:t>
      </w:r>
    </w:p>
    <w:p>
      <w:pPr>
        <w:pStyle w:val="ListBullet"/>
      </w:pPr>
      <w:r>
        <w:t>Authentication: verify consumer identity using enterprise-approved OIDC/OAuth or gateway integration.</w:t>
      </w:r>
    </w:p>
    <w:p>
      <w:pPr>
        <w:pStyle w:val="ListBullet"/>
      </w:pPr>
      <w:r>
        <w:t>Authorization: map identity to consumer/team/application and enforce operation-level policies.</w:t>
      </w:r>
    </w:p>
    <w:p>
      <w:pPr>
        <w:pStyle w:val="ListBullet"/>
      </w:pPr>
      <w:r>
        <w:t>Transport: TLS; validate Origin as required; restrict network exposure; use supported SDK and protocol versions.</w:t>
      </w:r>
    </w:p>
    <w:p>
      <w:pPr>
        <w:pStyle w:val="ListBullet"/>
      </w:pPr>
      <w:r>
        <w:t>Input safety: type/range/enum validation; bounded result sizes; no arbitrary ES DSL; prevent injection through query construction.</w:t>
      </w:r>
    </w:p>
    <w:p>
      <w:pPr>
        <w:pStyle w:val="ListBullet"/>
      </w:pPr>
      <w:r>
        <w:t>Data protection: return allowlisted synthetic fields only; redact logs; rotate secrets.</w:t>
      </w:r>
    </w:p>
    <w:p>
      <w:pPr>
        <w:pStyle w:val="ListBullet"/>
      </w:pPr>
      <w:r>
        <w:t>State: shared reservation DB; transaction isolation; unique constraints; idempotency; release semantics.</w:t>
      </w:r>
    </w:p>
    <w:p>
      <w:pPr>
        <w:pStyle w:val="ListBullet"/>
      </w:pPr>
      <w:r>
        <w:t>Resilience: request deadlines, retries only where safe, circuit breakers, bounded pools, graceful shutdown.</w:t>
      </w:r>
    </w:p>
    <w:p>
      <w:pPr>
        <w:pStyle w:val="ListBullet"/>
      </w:pPr>
      <w:r>
        <w:t>Observability: structured logs, metrics, traces, audit records, dashboards, alerts, correlation IDs.</w:t>
      </w:r>
    </w:p>
    <w:p>
      <w:pPr>
        <w:pStyle w:val="ListBullet"/>
      </w:pPr>
      <w:r>
        <w:t>Supply chain: pinned dependency lock, vulnerability scanning, SBOM, signed image, image provenance.</w:t>
      </w:r>
    </w:p>
    <w:p>
      <w:pPr>
        <w:pStyle w:val="ListBullet"/>
      </w:pPr>
      <w:r>
        <w:t>Testing: unit, integration, MCP Inspector, authz-negative, concurrent-reservation, fault-injection, load and failover tests.</w:t>
      </w:r>
    </w:p>
    <w:p>
      <w:pPr>
        <w:pStyle w:val="Heading1"/>
      </w:pPr>
      <w:r>
        <w:t>13. Pilot and rollout plan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1800"/>
          </w:tcPr>
          <w:p>
            <w:r>
              <w:rPr>
                <w:b/>
              </w:rPr>
              <w:t>Phase</w:t>
            </w:r>
          </w:p>
        </w:tc>
        <w:tc>
          <w:tcPr>
            <w:tcW w:type="dxa" w:w="4032"/>
          </w:tcPr>
          <w:p>
            <w:r>
              <w:rPr>
                <w:b/>
              </w:rPr>
              <w:t>Deliverable</w:t>
            </w:r>
          </w:p>
        </w:tc>
        <w:tc>
          <w:tcPr>
            <w:tcW w:type="dxa" w:w="3960"/>
          </w:tcPr>
          <w:p>
            <w:r>
              <w:rPr>
                <w:b/>
              </w:rPr>
              <w:t>Exit criteria</w:t>
            </w:r>
          </w:p>
        </w:tc>
      </w:tr>
      <w:tr>
        <w:tc>
          <w:tcPr>
            <w:tcW w:type="dxa" w:w="1800"/>
            <w:vAlign w:val="center"/>
          </w:tcPr>
          <w:p>
            <w:r>
              <w:t>0 — Design</w:t>
            </w:r>
          </w:p>
        </w:tc>
        <w:tc>
          <w:tcPr>
            <w:tcW w:type="dxa" w:w="4032"/>
            <w:vAlign w:val="center"/>
          </w:tcPr>
          <w:p>
            <w:r>
              <w:t>Tool schemas, auth model, data contract, threat model.</w:t>
            </w:r>
          </w:p>
        </w:tc>
        <w:tc>
          <w:tcPr>
            <w:tcW w:type="dxa" w:w="3960"/>
            <w:vAlign w:val="center"/>
          </w:tcPr>
          <w:p>
            <w:r>
              <w:t>Security/data owners approve boundaries and authoritative reservation semantics.</w:t>
            </w:r>
          </w:p>
        </w:tc>
      </w:tr>
      <w:tr>
        <w:tc>
          <w:tcPr>
            <w:tcW w:type="dxa" w:w="1800"/>
            <w:vAlign w:val="center"/>
          </w:tcPr>
          <w:p>
            <w:r>
              <w:t>1 — Foundation</w:t>
            </w:r>
          </w:p>
        </w:tc>
        <w:tc>
          <w:tcPr>
            <w:tcW w:type="dxa" w:w="4032"/>
            <w:vAlign w:val="center"/>
          </w:tcPr>
          <w:p>
            <w:r>
              <w:t>On-prem container; search/reserve/status tools.</w:t>
            </w:r>
          </w:p>
        </w:tc>
        <w:tc>
          <w:tcPr>
            <w:tcW w:type="dxa" w:w="3960"/>
            <w:vAlign w:val="center"/>
          </w:tcPr>
          <w:p>
            <w:r>
              <w:t>Functional tests pass; reservation race tests pass; auth/audit hooks verified.</w:t>
            </w:r>
          </w:p>
        </w:tc>
      </w:tr>
      <w:tr>
        <w:tc>
          <w:tcPr>
            <w:tcW w:type="dxa" w:w="1800"/>
            <w:vAlign w:val="center"/>
          </w:tcPr>
          <w:p>
            <w:r>
              <w:t>2 — Pilot</w:t>
            </w:r>
          </w:p>
        </w:tc>
        <w:tc>
          <w:tcPr>
            <w:tcW w:type="dxa" w:w="4032"/>
            <w:vAlign w:val="center"/>
          </w:tcPr>
          <w:p>
            <w:r>
              <w:t>Integrate 2–3 representative consumer agents/frameworks.</w:t>
            </w:r>
          </w:p>
        </w:tc>
        <w:tc>
          <w:tcPr>
            <w:tcW w:type="dxa" w:w="3960"/>
            <w:vAlign w:val="center"/>
          </w:tcPr>
          <w:p>
            <w:r>
              <w:t>Integration effort, usability, latency, and failure behavior measured.</w:t>
            </w:r>
          </w:p>
        </w:tc>
      </w:tr>
      <w:tr>
        <w:tc>
          <w:tcPr>
            <w:tcW w:type="dxa" w:w="1800"/>
            <w:vAlign w:val="center"/>
          </w:tcPr>
          <w:p>
            <w:r>
              <w:t>3 — Expand</w:t>
            </w:r>
          </w:p>
        </w:tc>
        <w:tc>
          <w:tcPr>
            <w:tcW w:type="dxa" w:w="4032"/>
            <w:vAlign w:val="center"/>
          </w:tcPr>
          <w:p>
            <w:r>
              <w:t>Create/condition tools and async bulk job/status tools.</w:t>
            </w:r>
          </w:p>
        </w:tc>
        <w:tc>
          <w:tcPr>
            <w:tcW w:type="dxa" w:w="3960"/>
            <w:vAlign w:val="center"/>
          </w:tcPr>
          <w:p>
            <w:r>
              <w:t>Approval controls, idempotency, audit, retry/recovery validated.</w:t>
            </w:r>
          </w:p>
        </w:tc>
      </w:tr>
      <w:tr>
        <w:tc>
          <w:tcPr>
            <w:tcW w:type="dxa" w:w="1800"/>
            <w:vAlign w:val="center"/>
          </w:tcPr>
          <w:p>
            <w:r>
              <w:t>4 — Scale/cloud-ready</w:t>
            </w:r>
          </w:p>
        </w:tc>
        <w:tc>
          <w:tcPr>
            <w:tcW w:type="dxa" w:w="4032"/>
            <w:vAlign w:val="center"/>
          </w:tcPr>
          <w:p>
            <w:r>
              <w:t>Load tests, HA, deployment automation, portability tests.</w:t>
            </w:r>
          </w:p>
        </w:tc>
        <w:tc>
          <w:tcPr>
            <w:tcW w:type="dxa" w:w="3960"/>
            <w:vAlign w:val="center"/>
          </w:tcPr>
          <w:p>
            <w:r>
              <w:t>Peak-load and failure tests pass; rollback and runbooks tested.</w:t>
            </w:r>
          </w:p>
        </w:tc>
      </w:tr>
    </w:tbl>
    <w:p/>
    <w:p>
      <w:pPr>
        <w:pStyle w:val="Heading1"/>
      </w:pPr>
      <w:r>
        <w:t>14. Success measures</w:t>
      </w:r>
    </w:p>
    <w:p>
      <w:pPr>
        <w:pStyle w:val="ListBullet"/>
      </w:pPr>
      <w:r>
        <w:t>Consumer integration lead time (hours/days from credentials to first successful tool call).</w:t>
      </w:r>
    </w:p>
    <w:p>
      <w:pPr>
        <w:pStyle w:val="ListBullet"/>
      </w:pPr>
      <w:r>
        <w:t>Percentage of consumer agent integrations using the shared interface without custom adapters.</w:t>
      </w:r>
    </w:p>
    <w:p>
      <w:pPr>
        <w:pStyle w:val="ListBullet"/>
      </w:pPr>
      <w:r>
        <w:t>Search precision against an agreed test corpus and criteria.</w:t>
      </w:r>
    </w:p>
    <w:p>
      <w:pPr>
        <w:pStyle w:val="ListBullet"/>
      </w:pPr>
      <w:r>
        <w:t>Reservation correctness: zero double-success outcomes in concurrency tests.</w:t>
      </w:r>
    </w:p>
    <w:p>
      <w:pPr>
        <w:pStyle w:val="ListBullet"/>
      </w:pPr>
      <w:r>
        <w:t>P50/P95/P99 tool latency and timeout/error rate.</w:t>
      </w:r>
    </w:p>
    <w:p>
      <w:pPr>
        <w:pStyle w:val="ListBullet"/>
      </w:pPr>
      <w:r>
        <w:t>Backend saturation: Elasticsearch latency, database connections, lock contention, queue depth.</w:t>
      </w:r>
    </w:p>
    <w:p>
      <w:pPr>
        <w:pStyle w:val="ListBullet"/>
      </w:pPr>
      <w:r>
        <w:t>Security: denied unauthorized operations, audit completeness, sensitive-data exposure tests.</w:t>
      </w:r>
    </w:p>
    <w:p>
      <w:pPr>
        <w:pStyle w:val="ListBullet"/>
      </w:pPr>
      <w:r>
        <w:t>Operational reliability: availability, recovery time, deployment rollback time.</w:t>
      </w:r>
    </w:p>
    <w:p>
      <w:pPr>
        <w:pStyle w:val="Heading1"/>
      </w:pPr>
      <w:r>
        <w:t>15. Risks and mitigations</w:t>
      </w:r>
    </w:p>
    <w:tbl>
      <w:tblPr>
        <w:tblStyle w:val="LightShading-Accent1"/>
        <w:tblW w:type="auto" w:w="0"/>
        <w:jc w:val="center"/>
        <w:tblLook w:firstColumn="1" w:firstRow="1" w:lastColumn="0" w:lastRow="0" w:noHBand="0" w:noVBand="1" w:val="04A0"/>
      </w:tblPr>
      <w:tblGrid>
        <w:gridCol w:w="5040"/>
        <w:gridCol w:w="5040"/>
      </w:tblGrid>
      <w:tr>
        <w:tc>
          <w:tcPr>
            <w:tcW w:type="dxa" w:w="3528"/>
          </w:tcPr>
          <w:p>
            <w:r>
              <w:rPr>
                <w:b/>
              </w:rPr>
              <w:t>Risk</w:t>
            </w:r>
          </w:p>
        </w:tc>
        <w:tc>
          <w:tcPr>
            <w:tcW w:type="dxa" w:w="6264"/>
          </w:tcPr>
          <w:p>
            <w:r>
              <w:rPr>
                <w:b/>
              </w:rPr>
              <w:t>Mitigation</w:t>
            </w:r>
          </w:p>
        </w:tc>
      </w:tr>
      <w:tr>
        <w:tc>
          <w:tcPr>
            <w:tcW w:type="dxa" w:w="3528"/>
            <w:vAlign w:val="center"/>
          </w:tcPr>
          <w:p>
            <w:r>
              <w:t>Agent misinterprets user intent</w:t>
            </w:r>
          </w:p>
        </w:tc>
        <w:tc>
          <w:tcPr>
            <w:tcW w:type="dxa" w:w="6264"/>
            <w:vAlign w:val="center"/>
          </w:tcPr>
          <w:p>
            <w:r>
              <w:t>Validate structured arguments; show confirmation for consequential mutations; deterministic business rules.</w:t>
            </w:r>
          </w:p>
        </w:tc>
      </w:tr>
      <w:tr>
        <w:tc>
          <w:tcPr>
            <w:tcW w:type="dxa" w:w="3528"/>
            <w:vAlign w:val="center"/>
          </w:tcPr>
          <w:p>
            <w:r>
              <w:t>Two consumers race to reserve one account</w:t>
            </w:r>
          </w:p>
        </w:tc>
        <w:tc>
          <w:tcPr>
            <w:tcW w:type="dxa" w:w="6264"/>
            <w:vAlign w:val="center"/>
          </w:tcPr>
          <w:p>
            <w:r>
              <w:t>Atomic reservation transaction and shared uniqueness constraint.</w:t>
            </w:r>
          </w:p>
        </w:tc>
      </w:tr>
      <w:tr>
        <w:tc>
          <w:tcPr>
            <w:tcW w:type="dxa" w:w="3528"/>
            <w:vAlign w:val="center"/>
          </w:tcPr>
          <w:p>
            <w:r>
              <w:t>One team overwhelms shared service</w:t>
            </w:r>
          </w:p>
        </w:tc>
        <w:tc>
          <w:tcPr>
            <w:tcW w:type="dxa" w:w="6264"/>
            <w:vAlign w:val="center"/>
          </w:tcPr>
          <w:p>
            <w:r>
              <w:t>Per-consumer quotas, fairness, backpressure, rate limits.</w:t>
            </w:r>
          </w:p>
        </w:tc>
      </w:tr>
      <w:tr>
        <w:tc>
          <w:tcPr>
            <w:tcW w:type="dxa" w:w="3528"/>
            <w:vAlign w:val="center"/>
          </w:tcPr>
          <w:p>
            <w:r>
              <w:t>Different client SDK versions</w:t>
            </w:r>
          </w:p>
        </w:tc>
        <w:tc>
          <w:tcPr>
            <w:tcW w:type="dxa" w:w="6264"/>
            <w:vAlign w:val="center"/>
          </w:tcPr>
          <w:p>
            <w:r>
              <w:t>Pin and test supported compatibility matrix; version tool contracts carefully.</w:t>
            </w:r>
          </w:p>
        </w:tc>
      </w:tr>
      <w:tr>
        <w:tc>
          <w:tcPr>
            <w:tcW w:type="dxa" w:w="3528"/>
            <w:vAlign w:val="center"/>
          </w:tcPr>
          <w:p>
            <w:r>
              <w:t>MCP becomes a thin duplicate of REST endpoints</w:t>
            </w:r>
          </w:p>
        </w:tc>
        <w:tc>
          <w:tcPr>
            <w:tcW w:type="dxa" w:w="6264"/>
            <w:vAlign w:val="center"/>
          </w:tcPr>
          <w:p>
            <w:r>
              <w:t>Design business-level tools; validate real consumer integration benefit.</w:t>
            </w:r>
          </w:p>
        </w:tc>
      </w:tr>
      <w:tr>
        <w:tc>
          <w:tcPr>
            <w:tcW w:type="dxa" w:w="3528"/>
            <w:vAlign w:val="center"/>
          </w:tcPr>
          <w:p>
            <w:r>
              <w:t>Cloud migration later requires refactor</w:t>
            </w:r>
          </w:p>
        </w:tc>
        <w:tc>
          <w:tcPr>
            <w:tcW w:type="dxa" w:w="6264"/>
            <w:vAlign w:val="center"/>
          </w:tcPr>
          <w:p>
            <w:r>
              <w:t>Separate config/adapters from business logic; containerize; avoid provider-specific assumptions.</w:t>
            </w:r>
          </w:p>
        </w:tc>
      </w:tr>
      <w:tr>
        <w:tc>
          <w:tcPr>
            <w:tcW w:type="dxa" w:w="3528"/>
            <w:vAlign w:val="center"/>
          </w:tcPr>
          <w:p>
            <w:r>
              <w:t>Unauthorized agent performs sensitive mutation</w:t>
            </w:r>
          </w:p>
        </w:tc>
        <w:tc>
          <w:tcPr>
            <w:tcW w:type="dxa" w:w="6264"/>
            <w:vAlign w:val="center"/>
          </w:tcPr>
          <w:p>
            <w:r>
              <w:t>Identity-derived tenant context, least privilege, step-up approval, audit.</w:t>
            </w:r>
          </w:p>
        </w:tc>
      </w:tr>
    </w:tbl>
    <w:p/>
    <w:p>
      <w:pPr>
        <w:pStyle w:val="Heading1"/>
      </w:pPr>
      <w:r>
        <w:t>16. Decision</w:t>
      </w:r>
    </w:p>
    <w:p>
      <w:r>
        <w:t>Proceed with a limited on-premises MCP pilot. Keep the existing UI and REST API stack unchanged. Build a separate MCP implementation with a small set of business-level tools, a shared authoritative reservation store, strict authorization, and a load-tested deployment. Expand only after proving that multiple consumer teams can integrate more consistently and safely than with bespoke REST/function-calling integrations.</w:t>
      </w:r>
    </w:p>
    <w:p>
      <w:pPr>
        <w:pStyle w:val="Heading1"/>
      </w:pPr>
      <w:r>
        <w:t>References</w:t>
      </w:r>
    </w:p>
    <w:p>
      <w:pPr>
        <w:pStyle w:val="ListBullet"/>
      </w:pPr>
      <w:r>
        <w:t>Official MCP Python SDK v2 documentation: https://py.sdk.modelcontextprotocol.io/</w:t>
      </w:r>
    </w:p>
    <w:p>
      <w:pPr>
        <w:pStyle w:val="ListBullet"/>
      </w:pPr>
      <w:r>
        <w:t>Official SDK migration guide (v1 to v2): https://py.sdk.modelcontextprotocol.io/migration/</w:t>
      </w:r>
    </w:p>
    <w:p>
      <w:pPr>
        <w:pStyle w:val="ListBullet"/>
      </w:pPr>
      <w:r>
        <w:t>Official server runtime / transports: https://py.sdk.modelcontextprotocol.io/run/</w:t>
      </w:r>
    </w:p>
    <w:p>
      <w:pPr>
        <w:pStyle w:val="ListBullet"/>
      </w:pPr>
      <w:r>
        <w:t>MCP Streamable HTTP specification (2026-07-28): https://github.com/modelcontextprotocol/modelcontextprotocol/blob/main/docs/specification/2026-07-28/basic/transports/streamable-http.mdx</w:t>
      </w:r>
    </w:p>
    <w:p>
      <w:pPr>
        <w:pStyle w:val="ListBullet"/>
      </w:pPr>
      <w:r>
        <w:t>MCP specification repository: https://github.com/modelcontextprotocol/modelcontextprotocol</w:t>
      </w:r>
    </w:p>
    <w:p>
      <w:r>
        <w:t>Document note: Architecture and resource sizing are recommendations based on the described use case. Validate against internal standards, actual Elasticsearch mappings, identity provider, reservation schema, client SDK compatibility, and load-test results.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5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66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457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