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confidence interval 0.955-0.978) and a macro-F1 of 0.967. Background colour alone, however, predicted the class with a balanced accuracy of 0.823 (grouped block folds without embargo), and with the same frozen encoder and a logistic probe, keeping the raw background raised balanced accuracy from 0.959 to 0.978. Random block folds overestimated accuracy relative to contiguous folds, and removing training images that were close in capture number to the test images lowered accuracy more than removing the same number at random. Because the classes appear to have been imaged in separate sessions (this could not be verified), in-dataset accuracy probably overstates performance on new patients; no external data were tested.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r>
        <w:br w:type="page"/>
      </w:r>
    </w:p>
    <w:p>
      <w:pPr>
        <w:keepNext/>
        <w:spacing w:after="160" w:before="0" w:line="240" w:lineRule="auto"/>
        <w:jc w:val="center"/>
      </w:pPr>
      <w:r>
        <w:rPr>
          <w:rFonts w:ascii="Times New Roman" w:cs="Times New Roman" w:eastAsia="Times New Roman" w:hAnsi="Times New Roman"/>
          <w:b/>
          <w:bCs/>
        </w:rPr>
        <w:t xml:space="preserve">CONTENTS</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Introduction</w:t>
      </w:r>
      <w:r>
        <w:rPr>
          <w:rFonts w:ascii="Times New Roman" w:cs="Times New Roman" w:eastAsia="Times New Roman" w:hAnsi="Times New Roman"/>
          <w:sz w:val="22"/>
          <w:szCs w:val="22"/>
        </w:rPr>
        <w:t xml:space="preserve">	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Clinical background</w:t>
      </w:r>
      <w:r>
        <w:rPr>
          <w:rFonts w:ascii="Times New Roman" w:cs="Times New Roman" w:eastAsia="Times New Roman" w:hAnsi="Times New Roman"/>
          <w:sz w:val="22"/>
          <w:szCs w:val="22"/>
        </w:rPr>
        <w:t xml:space="preserve">	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dataset and its four classes</w:t>
      </w:r>
      <w:r>
        <w:rPr>
          <w:rFonts w:ascii="Times New Roman" w:cs="Times New Roman" w:eastAsia="Times New Roman" w:hAnsi="Times New Roman"/>
          <w:sz w:val="22"/>
          <w:szCs w:val="22"/>
        </w:rPr>
        <w:t xml:space="preserve">	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Computer-aided analysis of blood smears</w:t>
      </w:r>
      <w:r>
        <w:rPr>
          <w:rFonts w:ascii="Times New Roman" w:cs="Times New Roman" w:eastAsia="Times New Roman" w:hAnsi="Times New Roman"/>
          <w:sz w:val="22"/>
          <w:szCs w:val="22"/>
        </w:rPr>
        <w:t xml:space="preserve">	10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Stain variation and normalisation</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Validity of evaluation in medical machine learning</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Contributions</w:t>
      </w:r>
      <w:r>
        <w:rPr>
          <w:rFonts w:ascii="Times New Roman" w:cs="Times New Roman" w:eastAsia="Times New Roman" w:hAnsi="Times New Roman"/>
          <w:sz w:val="22"/>
          <w:szCs w:val="22"/>
        </w:rPr>
        <w:t xml:space="preserve">	12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Objectives</w:t>
      </w:r>
      <w:r>
        <w:rPr>
          <w:rFonts w:ascii="Times New Roman" w:cs="Times New Roman" w:eastAsia="Times New Roman" w:hAnsi="Times New Roman"/>
          <w:sz w:val="22"/>
          <w:szCs w:val="22"/>
        </w:rPr>
        <w:t xml:space="preserve">	13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Materials and Methods</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Preprocessing</w:t>
      </w:r>
      <w:r>
        <w:rPr>
          <w:rFonts w:ascii="Times New Roman" w:cs="Times New Roman" w:eastAsia="Times New Roman" w:hAnsi="Times New Roman"/>
          <w:sz w:val="22"/>
          <w:szCs w:val="22"/>
        </w:rPr>
        <w:t xml:space="preserve">	14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neutralisation and cell isolation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audit</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Session groups and cross-validation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Models</w:t>
      </w:r>
      <w:r>
        <w:rPr>
          <w:rFonts w:ascii="Times New Roman" w:cs="Times New Roman" w:eastAsia="Times New Roman" w:hAnsi="Times New Roman"/>
          <w:sz w:val="22"/>
          <w:szCs w:val="22"/>
        </w:rPr>
        <w:t xml:space="preserve">	17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Statistics and software</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Processing stages and their outputs</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Stage 11, classification</w:t>
      </w:r>
      <w:r>
        <w:rPr>
          <w:rFonts w:ascii="Times New Roman" w:cs="Times New Roman" w:eastAsia="Times New Roman" w:hAnsi="Times New Roman"/>
          <w:sz w:val="22"/>
          <w:szCs w:val="22"/>
        </w:rPr>
        <w:t xml:space="preserve">	21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Formal description of the preprocessing</w:t>
      </w:r>
      <w:r>
        <w:rPr>
          <w:rFonts w:ascii="Times New Roman" w:cs="Times New Roman" w:eastAsia="Times New Roman" w:hAnsi="Times New Roman"/>
          <w:sz w:val="22"/>
          <w:szCs w:val="22"/>
        </w:rPr>
        <w:t xml:space="preserve">	22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Bag construction and the attention head</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objective and optimisation</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Fold construction in detail</w:t>
      </w:r>
      <w:r>
        <w:rPr>
          <w:rFonts w:ascii="Times New Roman" w:cs="Times New Roman" w:eastAsia="Times New Roman" w:hAnsi="Times New Roman"/>
          <w:sz w:val="22"/>
          <w:szCs w:val="22"/>
        </w:rPr>
        <w:t xml:space="preserve">	25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Evaluation measures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Hyperparameters of the planned fine-tuning experiments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Computational environment</w:t>
      </w:r>
      <w:r>
        <w:rPr>
          <w:rFonts w:ascii="Times New Roman" w:cs="Times New Roman" w:eastAsia="Times New Roman" w:hAnsi="Times New Roman"/>
          <w:sz w:val="22"/>
          <w:szCs w:val="22"/>
        </w:rPr>
        <w:t xml:space="preserve">	27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 and preprocessing</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class can be predicted from the background</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Headline result with a frozen foundation model</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model uses: representation ablation</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Random block folds gave higher accuracy, and removing neighbours hurt more than random removal</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 of the processing stages</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Cell features by class</w:t>
      </w:r>
      <w:r>
        <w:rPr>
          <w:rFonts w:ascii="Times New Roman" w:cs="Times New Roman" w:eastAsia="Times New Roman" w:hAnsi="Times New Roman"/>
          <w:sz w:val="22"/>
          <w:szCs w:val="22"/>
        </w:rPr>
        <w:t xml:space="preserve">	31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dynamics of the headline model</w:t>
      </w:r>
      <w:r>
        <w:rPr>
          <w:rFonts w:ascii="Times New Roman" w:cs="Times New Roman" w:eastAsia="Times New Roman" w:hAnsi="Times New Roman"/>
          <w:sz w:val="22"/>
          <w:szCs w:val="22"/>
        </w:rPr>
        <w:t xml:space="preserve">	32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Discrimination and precision</w:t>
      </w:r>
      <w:r>
        <w:rPr>
          <w:rFonts w:ascii="Times New Roman" w:cs="Times New Roman" w:eastAsia="Times New Roman" w:hAnsi="Times New Roman"/>
          <w:sz w:val="22"/>
          <w:szCs w:val="22"/>
        </w:rPr>
        <w:t xml:space="preserve">	32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Calibration</w:t>
      </w:r>
      <w:r>
        <w:rPr>
          <w:rFonts w:ascii="Times New Roman" w:cs="Times New Roman" w:eastAsia="Times New Roman" w:hAnsi="Times New Roman"/>
          <w:sz w:val="22"/>
          <w:szCs w:val="22"/>
        </w:rPr>
        <w:t xml:space="preserve">	33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Where the model fails</w:t>
      </w:r>
      <w:r>
        <w:rPr>
          <w:rFonts w:ascii="Times New Roman" w:cs="Times New Roman" w:eastAsia="Times New Roman" w:hAnsi="Times New Roman"/>
          <w:sz w:val="22"/>
          <w:szCs w:val="22"/>
        </w:rPr>
        <w:t xml:space="preserve">	33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 and encoder comparison</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Attention, saliency and embedding structure</w:t>
      </w:r>
      <w:r>
        <w:rPr>
          <w:rFonts w:ascii="Times New Roman" w:cs="Times New Roman" w:eastAsia="Times New Roman" w:hAnsi="Times New Roman"/>
          <w:sz w:val="22"/>
          <w:szCs w:val="22"/>
        </w:rPr>
        <w:t xml:space="preserve">	35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Discussion</w:t>
      </w:r>
      <w:r>
        <w:rPr>
          <w:rFonts w:ascii="Times New Roman" w:cs="Times New Roman" w:eastAsia="Times New Roman" w:hAnsi="Times New Roman"/>
          <w:sz w:val="22"/>
          <w:szCs w:val="22"/>
        </w:rPr>
        <w:t xml:space="preserve">	76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Limitations</w:t>
      </w:r>
      <w:r>
        <w:rPr>
          <w:rFonts w:ascii="Times New Roman" w:cs="Times New Roman" w:eastAsia="Times New Roman" w:hAnsi="Times New Roman"/>
          <w:sz w:val="22"/>
          <w:szCs w:val="22"/>
        </w:rPr>
        <w:t xml:space="preserve">	77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Implications and future work</w:t>
      </w:r>
      <w:r>
        <w:rPr>
          <w:rFonts w:ascii="Times New Roman" w:cs="Times New Roman" w:eastAsia="Times New Roman" w:hAnsi="Times New Roman"/>
          <w:sz w:val="22"/>
          <w:szCs w:val="22"/>
        </w:rPr>
        <w:t xml:space="preserve">	78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Interpretation of the headline result</w:t>
      </w:r>
      <w:r>
        <w:rPr>
          <w:rFonts w:ascii="Times New Roman" w:cs="Times New Roman" w:eastAsia="Times New Roman" w:hAnsi="Times New Roman"/>
          <w:sz w:val="22"/>
          <w:szCs w:val="22"/>
        </w:rPr>
        <w:t xml:space="preserve">	78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Relation to other work</w:t>
      </w:r>
      <w:r>
        <w:rPr>
          <w:rFonts w:ascii="Times New Roman" w:cs="Times New Roman" w:eastAsia="Times New Roman" w:hAnsi="Times New Roman"/>
          <w:sz w:val="22"/>
          <w:szCs w:val="22"/>
        </w:rPr>
        <w:t xml:space="preserve">	79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Consequences for users of the dataset</w:t>
      </w:r>
      <w:r>
        <w:rPr>
          <w:rFonts w:ascii="Times New Roman" w:cs="Times New Roman" w:eastAsia="Times New Roman" w:hAnsi="Times New Roman"/>
          <w:sz w:val="22"/>
          <w:szCs w:val="22"/>
        </w:rPr>
        <w:t xml:space="preserve">	79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Threats to validity</w:t>
      </w:r>
      <w:r>
        <w:rPr>
          <w:rFonts w:ascii="Times New Roman" w:cs="Times New Roman" w:eastAsia="Times New Roman" w:hAnsi="Times New Roman"/>
          <w:sz w:val="22"/>
          <w:szCs w:val="22"/>
        </w:rPr>
        <w:t xml:space="preserve">	80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Response to the review of the earlier version</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Ethical and clinical considerations</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Future work</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Conclusion</w:t>
      </w:r>
      <w:r>
        <w:rPr>
          <w:rFonts w:ascii="Times New Roman" w:cs="Times New Roman" w:eastAsia="Times New Roman" w:hAnsi="Times New Roman"/>
          <w:sz w:val="22"/>
          <w:szCs w:val="22"/>
        </w:rPr>
        <w:t xml:space="preserve">	82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Acknowledgments</w:t>
      </w:r>
      <w:r>
        <w:rPr>
          <w:rFonts w:ascii="Times New Roman" w:cs="Times New Roman" w:eastAsia="Times New Roman" w:hAnsi="Times New Roman"/>
          <w:sz w:val="22"/>
          <w:szCs w:val="22"/>
        </w:rPr>
        <w:t xml:space="preserve">	83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Literature Cited</w:t>
      </w:r>
      <w:r>
        <w:rPr>
          <w:rFonts w:ascii="Times New Roman" w:cs="Times New Roman" w:eastAsia="Times New Roman" w:hAnsi="Times New Roman"/>
          <w:sz w:val="22"/>
          <w:szCs w:val="22"/>
        </w:rPr>
        <w:t xml:space="preserve">	83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 Per-fold results of the headline model</w:t>
      </w:r>
      <w:r>
        <w:rPr>
          <w:rFonts w:ascii="Times New Roman" w:cs="Times New Roman" w:eastAsia="Times New Roman" w:hAnsi="Times New Roman"/>
          <w:sz w:val="22"/>
          <w:szCs w:val="22"/>
        </w:rPr>
        <w:t xml:space="preserve">	87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 Superseded random-block ablation</w:t>
      </w:r>
      <w:r>
        <w:rPr>
          <w:rFonts w:ascii="Times New Roman" w:cs="Times New Roman" w:eastAsia="Times New Roman" w:hAnsi="Times New Roman"/>
          <w:sz w:val="22"/>
          <w:szCs w:val="22"/>
        </w:rPr>
        <w:t xml:space="preserve">	89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III. Definitions of the per-cell features</w:t>
      </w:r>
      <w:r>
        <w:rPr>
          <w:rFonts w:ascii="Times New Roman" w:cs="Times New Roman" w:eastAsia="Times New Roman" w:hAnsi="Times New Roman"/>
          <w:sz w:val="22"/>
          <w:szCs w:val="22"/>
        </w:rPr>
        <w:t xml:space="preserve">	90</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IV. Software and prepared experiments</w:t>
      </w:r>
      <w:r>
        <w:rPr>
          <w:rFonts w:ascii="Times New Roman" w:cs="Times New Roman" w:eastAsia="Times New Roman" w:hAnsi="Times New Roman"/>
          <w:sz w:val="22"/>
          <w:szCs w:val="22"/>
        </w:rPr>
        <w:t xml:space="preserve">	91</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 Reproducing the results</w:t>
      </w:r>
      <w:r>
        <w:rPr>
          <w:rFonts w:ascii="Times New Roman" w:cs="Times New Roman" w:eastAsia="Times New Roman" w:hAnsi="Times New Roman"/>
          <w:sz w:val="22"/>
          <w:szCs w:val="22"/>
        </w:rPr>
        <w:t xml:space="preserve">	95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 Images misclassified by the headline model</w:t>
      </w:r>
      <w:r>
        <w:rPr>
          <w:rFonts w:ascii="Times New Roman" w:cs="Times New Roman" w:eastAsia="Times New Roman" w:hAnsi="Times New Roman"/>
          <w:sz w:val="22"/>
          <w:szCs w:val="22"/>
        </w:rPr>
        <w:t xml:space="preserve">	96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 Training logs of the five folds</w:t>
      </w:r>
      <w:r>
        <w:rPr>
          <w:rFonts w:ascii="Times New Roman" w:cs="Times New Roman" w:eastAsia="Times New Roman" w:hAnsi="Times New Roman"/>
          <w:sz w:val="22"/>
          <w:szCs w:val="22"/>
        </w:rPr>
        <w:t xml:space="preserve">	99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VIII. Configurations of the fine-tuning experiments</w:t>
      </w:r>
      <w:r>
        <w:rPr>
          <w:rFonts w:ascii="Times New Roman" w:cs="Times New Roman" w:eastAsia="Times New Roman" w:hAnsi="Times New Roman"/>
          <w:sz w:val="22"/>
          <w:szCs w:val="22"/>
        </w:rPr>
        <w:t xml:space="preserve">	102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IX. Algorithms in pseudocode</w:t>
      </w:r>
      <w:r>
        <w:rPr>
          <w:rFonts w:ascii="Times New Roman" w:cs="Times New Roman" w:eastAsia="Times New Roman" w:hAnsi="Times New Roman"/>
          <w:sz w:val="22"/>
          <w:szCs w:val="22"/>
        </w:rPr>
        <w:t xml:space="preserve">	103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 Glossary of terms and abbreviations</w:t>
      </w:r>
      <w:r>
        <w:rPr>
          <w:rFonts w:ascii="Times New Roman" w:cs="Times New Roman" w:eastAsia="Times New Roman" w:hAnsi="Times New Roman"/>
          <w:sz w:val="22"/>
          <w:szCs w:val="22"/>
        </w:rPr>
        <w:t xml:space="preserve">	104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 Source listings of the core algorithms</w:t>
      </w:r>
      <w:r>
        <w:rPr>
          <w:rFonts w:ascii="Times New Roman" w:cs="Times New Roman" w:eastAsia="Times New Roman" w:hAnsi="Times New Roman"/>
          <w:sz w:val="22"/>
          <w:szCs w:val="22"/>
        </w:rPr>
        <w:t xml:space="preserve">	105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 Test suite</w:t>
      </w:r>
      <w:r>
        <w:rPr>
          <w:rFonts w:ascii="Times New Roman" w:cs="Times New Roman" w:eastAsia="Times New Roman" w:hAnsi="Times New Roman"/>
          <w:sz w:val="22"/>
          <w:szCs w:val="22"/>
        </w:rPr>
        <w:t xml:space="preserve">	119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XIII. Files released with the paper</w:t>
      </w:r>
      <w:r>
        <w:rPr>
          <w:rFonts w:ascii="Times New Roman" w:cs="Times New Roman" w:eastAsia="Times New Roman" w:hAnsi="Times New Roman"/>
          <w:sz w:val="22"/>
          <w:szCs w:val="22"/>
        </w:rPr>
        <w:t xml:space="preserve">	123</w:t>
      </w:r>
    </w:p>
    <w:p>
      <w:pPr>
        <w:keepNext/>
        <w:spacing w:after="160" w:before="360" w:line="240" w:lineRule="auto"/>
        <w:jc w:val="center"/>
      </w:pPr>
      <w:r>
        <w:rPr>
          <w:rFonts w:ascii="Times New Roman" w:cs="Times New Roman" w:eastAsia="Times New Roman" w:hAnsi="Times New Roman"/>
          <w:b/>
          <w:bCs/>
        </w:rPr>
        <w:t xml:space="preserve">LIST OF TABLES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 Composition of the dataset and output of the segmentation stage, by class.</w:t>
      </w:r>
      <w:r>
        <w:rPr>
          <w:rFonts w:ascii="Times New Roman" w:cs="Times New Roman" w:eastAsia="Times New Roman" w:hAnsi="Times New Roman"/>
          <w:sz w:val="21"/>
          <w:szCs w:val="21"/>
        </w:rPr>
        <w:t xml:space="preserve">	37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2. The processing stages, their implementation and their use in this study.</w:t>
      </w:r>
      <w:r>
        <w:rPr>
          <w:rFonts w:ascii="Times New Roman" w:cs="Times New Roman" w:eastAsia="Times New Roman" w:hAnsi="Times New Roman"/>
          <w:sz w:val="21"/>
          <w:szCs w:val="21"/>
        </w:rPr>
        <w:t xml:space="preserve">	38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3. Denoising benchmark on synthetic Gaussian noise.</w:t>
      </w:r>
      <w:r>
        <w:rPr>
          <w:rFonts w:ascii="Times New Roman" w:cs="Times New Roman" w:eastAsia="Times New Roman" w:hAnsi="Times New Roman"/>
          <w:sz w:val="21"/>
          <w:szCs w:val="21"/>
        </w:rPr>
        <w:t xml:space="preserve">	39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4. Stage 10: per-cell measurements of the cells of WBC-Malignant-Early-025.</w:t>
      </w:r>
      <w:r>
        <w:rPr>
          <w:rFonts w:ascii="Times New Roman" w:cs="Times New Roman" w:eastAsia="Times New Roman" w:hAnsi="Times New Roman"/>
          <w:sz w:val="21"/>
          <w:szCs w:val="21"/>
        </w:rPr>
        <w:t xml:space="preserve">	40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5. Shortcut audit: balanced accuracy of a random-forest classifier that sees only the named quantity,.</w:t>
      </w:r>
      <w:r>
        <w:rPr>
          <w:rFonts w:ascii="Times New Roman" w:cs="Times New Roman" w:eastAsia="Times New Roman" w:hAnsi="Times New Roman"/>
          <w:sz w:val="21"/>
          <w:szCs w:val="21"/>
        </w:rPr>
        <w:t xml:space="preserve">	41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6. Headline result: frozen DinoBloom-S with an attention-pooling head on isolated,.</w:t>
      </w:r>
      <w:r>
        <w:rPr>
          <w:rFonts w:ascii="Times New Roman" w:cs="Times New Roman" w:eastAsia="Times New Roman" w:hAnsi="Times New Roman"/>
          <w:sz w:val="21"/>
          <w:szCs w:val="21"/>
        </w:rPr>
        <w:t xml:space="preserve">	42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7. Effect of the image representation on four-class balanced accuracy with a frozen DinoBloom-S.</w:t>
      </w:r>
      <w:r>
        <w:rPr>
          <w:rFonts w:ascii="Times New Roman" w:cs="Times New Roman" w:eastAsia="Times New Roman" w:hAnsi="Times New Roman"/>
          <w:sz w:val="21"/>
          <w:szCs w:val="21"/>
        </w:rPr>
        <w:t xml:space="preserve">	43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8. The same classifier evaluated under different fold constructions.</w:t>
      </w:r>
      <w:r>
        <w:rPr>
          <w:rFonts w:ascii="Times New Roman" w:cs="Times New Roman" w:eastAsia="Times New Roman" w:hAnsi="Times New Roman"/>
          <w:sz w:val="21"/>
          <w:szCs w:val="21"/>
        </w:rPr>
        <w:t xml:space="preserve">	44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9. Training images close in capture number to the test images are removed from random-block folds.</w:t>
      </w:r>
      <w:r>
        <w:rPr>
          <w:rFonts w:ascii="Times New Roman" w:cs="Times New Roman" w:eastAsia="Times New Roman" w:hAnsi="Times New Roman"/>
          <w:sz w:val="21"/>
          <w:szCs w:val="21"/>
        </w:rPr>
        <w:t xml:space="preserve">	45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10. Contiguous folds with an increasing minimum gap between the training images and the test segment.</w:t>
      </w:r>
      <w:r>
        <w:rPr>
          <w:rFonts w:ascii="Times New Roman" w:cs="Times New Roman" w:eastAsia="Times New Roman" w:hAnsi="Times New Roman"/>
          <w:sz w:val="21"/>
          <w:szCs w:val="21"/>
        </w:rPr>
        <w:t xml:space="preserve">	46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11. Contribution of the processing stages to classification.</w:t>
      </w:r>
      <w:r>
        <w:rPr>
          <w:rFonts w:ascii="Times New Roman" w:cs="Times New Roman" w:eastAsia="Times New Roman" w:hAnsi="Times New Roman"/>
          <w:sz w:val="21"/>
          <w:szCs w:val="21"/>
        </w:rPr>
        <w:t xml:space="preserve">	47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12. Per-cell features by class: median and interquartile range.</w:t>
      </w:r>
      <w:r>
        <w:rPr>
          <w:rFonts w:ascii="Times New Roman" w:cs="Times New Roman" w:eastAsia="Times New Roman" w:hAnsi="Times New Roman"/>
          <w:sz w:val="21"/>
          <w:szCs w:val="21"/>
        </w:rPr>
        <w:t xml:space="preserve">	48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13. Fine-tuning and encoder comparison under the same five contiguous session-aware folds.</w:t>
      </w:r>
      <w:r>
        <w:rPr>
          <w:rFonts w:ascii="Times New Roman" w:cs="Times New Roman" w:eastAsia="Times New Roman" w:hAnsi="Times New Roman"/>
          <w:sz w:val="21"/>
          <w:szCs w:val="21"/>
        </w:rPr>
        <w:t xml:space="preserve">	49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 Per-fold results of the headline model.</w:t>
      </w:r>
      <w:r>
        <w:rPr>
          <w:rFonts w:ascii="Times New Roman" w:cs="Times New Roman" w:eastAsia="Times New Roman" w:hAnsi="Times New Roman"/>
          <w:sz w:val="21"/>
          <w:szCs w:val="21"/>
        </w:rPr>
        <w:t xml:space="preserve">	87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A2. Per-class recall of each fold.</w:t>
      </w:r>
      <w:r>
        <w:rPr>
          <w:rFonts w:ascii="Times New Roman" w:cs="Times New Roman" w:eastAsia="Times New Roman" w:hAnsi="Times New Roman"/>
          <w:sz w:val="21"/>
          <w:szCs w:val="21"/>
        </w:rPr>
        <w:t xml:space="preserve">	87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A3. Pooled out-of-fold confusion matrix of the headline model.</w:t>
      </w:r>
      <w:r>
        <w:rPr>
          <w:rFonts w:ascii="Times New Roman" w:cs="Times New Roman" w:eastAsia="Times New Roman" w:hAnsi="Times New Roman"/>
          <w:sz w:val="21"/>
          <w:szCs w:val="21"/>
        </w:rPr>
        <w:t xml:space="preserve">	87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A4. Confusion matrices of the five folds.</w:t>
      </w:r>
      <w:r>
        <w:rPr>
          <w:rFonts w:ascii="Times New Roman" w:cs="Times New Roman" w:eastAsia="Times New Roman" w:hAnsi="Times New Roman"/>
          <w:sz w:val="21"/>
          <w:szCs w:val="21"/>
        </w:rPr>
        <w:t xml:space="preserve">	87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A5. Representation ablation with random 37-image blocks.</w:t>
      </w:r>
      <w:r>
        <w:rPr>
          <w:rFonts w:ascii="Times New Roman" w:cs="Times New Roman" w:eastAsia="Times New Roman" w:hAnsi="Times New Roman"/>
          <w:sz w:val="21"/>
          <w:szCs w:val="21"/>
        </w:rPr>
        <w:t xml:space="preserve">	89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A6. Per-cell features computed by the preprocessing package.</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A7. Misclassified images.</w:t>
      </w:r>
      <w:r>
        <w:rPr>
          <w:rFonts w:ascii="Times New Roman" w:cs="Times New Roman" w:eastAsia="Times New Roman" w:hAnsi="Times New Roman"/>
          <w:sz w:val="21"/>
          <w:szCs w:val="21"/>
        </w:rPr>
        <w:t xml:space="preserve">	96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A8. Epoch log of fold 1.</w:t>
      </w:r>
      <w:r>
        <w:rPr>
          <w:rFonts w:ascii="Times New Roman" w:cs="Times New Roman" w:eastAsia="Times New Roman" w:hAnsi="Times New Roman"/>
          <w:sz w:val="21"/>
          <w:szCs w:val="21"/>
        </w:rPr>
        <w:t xml:space="preserve">	99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A9. Epoch log of fold 2.</w:t>
      </w:r>
      <w:r>
        <w:rPr>
          <w:rFonts w:ascii="Times New Roman" w:cs="Times New Roman" w:eastAsia="Times New Roman" w:hAnsi="Times New Roman"/>
          <w:sz w:val="21"/>
          <w:szCs w:val="21"/>
        </w:rPr>
        <w:t xml:space="preserve">	99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A10. Epoch log of fold 3.</w:t>
      </w:r>
      <w:r>
        <w:rPr>
          <w:rFonts w:ascii="Times New Roman" w:cs="Times New Roman" w:eastAsia="Times New Roman" w:hAnsi="Times New Roman"/>
          <w:sz w:val="21"/>
          <w:szCs w:val="21"/>
        </w:rPr>
        <w:t xml:space="preserve">	100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A11. Epoch log of fold 4.</w:t>
      </w:r>
      <w:r>
        <w:rPr>
          <w:rFonts w:ascii="Times New Roman" w:cs="Times New Roman" w:eastAsia="Times New Roman" w:hAnsi="Times New Roman"/>
          <w:sz w:val="21"/>
          <w:szCs w:val="21"/>
        </w:rPr>
        <w:t xml:space="preserve">	100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A12. Epoch log of fold 5.</w:t>
      </w:r>
      <w:r>
        <w:rPr>
          <w:rFonts w:ascii="Times New Roman" w:cs="Times New Roman" w:eastAsia="Times New Roman" w:hAnsi="Times New Roman"/>
          <w:sz w:val="21"/>
          <w:szCs w:val="21"/>
        </w:rPr>
        <w:t xml:space="preserve">	101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A13. Settings that differ between the fine-tuning configurations.</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A14. Settings shared by all fine-tuning configurations.</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A15. Glossary.</w:t>
      </w:r>
      <w:r>
        <w:rPr>
          <w:rFonts w:ascii="Times New Roman" w:cs="Times New Roman" w:eastAsia="Times New Roman" w:hAnsi="Times New Roman"/>
          <w:sz w:val="21"/>
          <w:szCs w:val="21"/>
        </w:rPr>
        <w:t xml:space="preserve">	104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A16. Result files and the scripts that produce them.</w:t>
      </w:r>
      <w:r>
        <w:rPr>
          <w:rFonts w:ascii="Times New Roman" w:cs="Times New Roman" w:eastAsia="Times New Roman" w:hAnsi="Times New Roman"/>
          <w:sz w:val="21"/>
          <w:szCs w:val="21"/>
        </w:rPr>
        <w:t xml:space="preserve">	123</w:t>
      </w:r>
    </w:p>
    <w:p>
      <w:pPr>
        <w:keepNext/>
        <w:spacing w:after="160" w:before="360" w:line="240" w:lineRule="auto"/>
        <w:jc w:val="center"/>
      </w:pPr>
      <w:r>
        <w:rPr>
          <w:rFonts w:ascii="Times New Roman" w:cs="Times New Roman" w:eastAsia="Times New Roman" w:hAnsi="Times New Roman"/>
          <w:b/>
          <w:bCs/>
        </w:rPr>
        <w:t xml:space="preserve">LIST OF FIGURES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 Processing pipeline.</w:t>
      </w:r>
      <w:r>
        <w:rPr>
          <w:rFonts w:ascii="Times New Roman" w:cs="Times New Roman" w:eastAsia="Times New Roman" w:hAnsi="Times New Roman"/>
          <w:sz w:val="21"/>
          <w:szCs w:val="21"/>
        </w:rPr>
        <w:t xml:space="preserve">	50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 Cell segmentation.</w:t>
      </w:r>
      <w:r>
        <w:rPr>
          <w:rFonts w:ascii="Times New Roman" w:cs="Times New Roman" w:eastAsia="Times New Roman" w:hAnsi="Times New Roman"/>
          <w:sz w:val="21"/>
          <w:szCs w:val="21"/>
        </w:rPr>
        <w:t xml:space="preserve">	51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3. Capture-order structure of the dataset.</w:t>
      </w:r>
      <w:r>
        <w:rPr>
          <w:rFonts w:ascii="Times New Roman" w:cs="Times New Roman" w:eastAsia="Times New Roman" w:hAnsi="Times New Roman"/>
          <w:sz w:val="21"/>
          <w:szCs w:val="21"/>
        </w:rPr>
        <w:t xml:space="preserve">	52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4. Stage 1, stain normalisation.</w:t>
      </w:r>
      <w:r>
        <w:rPr>
          <w:rFonts w:ascii="Times New Roman" w:cs="Times New Roman" w:eastAsia="Times New Roman" w:hAnsi="Times New Roman"/>
          <w:sz w:val="21"/>
          <w:szCs w:val="21"/>
        </w:rPr>
        <w:t xml:space="preserve">	53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5. Stage 2, denoising of the luminance of WBC-Malignant-Early-025.</w:t>
      </w:r>
      <w:r>
        <w:rPr>
          <w:rFonts w:ascii="Times New Roman" w:cs="Times New Roman" w:eastAsia="Times New Roman" w:hAnsi="Times New Roman"/>
          <w:sz w:val="21"/>
          <w:szCs w:val="21"/>
        </w:rPr>
        <w:t xml:space="preserve">	54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6. Stage 3, hybrid-diffusion edge indicator.</w:t>
      </w:r>
      <w:r>
        <w:rPr>
          <w:rFonts w:ascii="Times New Roman" w:cs="Times New Roman" w:eastAsia="Times New Roman" w:hAnsi="Times New Roman"/>
          <w:sz w:val="21"/>
          <w:szCs w:val="21"/>
        </w:rPr>
        <w:t xml:space="preserve">	55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7. Stages 4 and 5, response layers of WBC-Malignant-Early-025.</w:t>
      </w:r>
      <w:r>
        <w:rPr>
          <w:rFonts w:ascii="Times New Roman" w:cs="Times New Roman" w:eastAsia="Times New Roman" w:hAnsi="Times New Roman"/>
          <w:sz w:val="21"/>
          <w:szCs w:val="21"/>
        </w:rPr>
        <w:t xml:space="preserve">	56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8. Stages 6 and 7, ensemble mode decomposition and pure-mode selection for the luminance of WBC-Malignant-Early-025.</w:t>
      </w:r>
      <w:r>
        <w:rPr>
          <w:rFonts w:ascii="Times New Roman" w:cs="Times New Roman" w:eastAsia="Times New Roman" w:hAnsi="Times New Roman"/>
          <w:sz w:val="21"/>
          <w:szCs w:val="21"/>
        </w:rPr>
        <w:t xml:space="preserve">	57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9. Stage 8, cell and nucleus segmentation for one image per class.</w:t>
      </w:r>
      <w:r>
        <w:rPr>
          <w:rFonts w:ascii="Times New Roman" w:cs="Times New Roman" w:eastAsia="Times New Roman" w:hAnsi="Times New Roman"/>
          <w:sz w:val="21"/>
          <w:szCs w:val="21"/>
        </w:rPr>
        <w:t xml:space="preserve">	58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10. Stage 9, shortcut neutralisation.</w:t>
      </w:r>
      <w:r>
        <w:rPr>
          <w:rFonts w:ascii="Times New Roman" w:cs="Times New Roman" w:eastAsia="Times New Roman" w:hAnsi="Times New Roman"/>
          <w:sz w:val="21"/>
          <w:szCs w:val="21"/>
        </w:rPr>
        <w:t xml:space="preserve">	59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11. Stage 9, outputs for WBC-Malignant-Early-025: the neutralised image, its grey version, and the.</w:t>
      </w:r>
      <w:r>
        <w:rPr>
          <w:rFonts w:ascii="Times New Roman" w:cs="Times New Roman" w:eastAsia="Times New Roman" w:hAnsi="Times New Roman"/>
          <w:sz w:val="21"/>
          <w:szCs w:val="21"/>
        </w:rPr>
        <w:t xml:space="preserve">	60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12. Stage 10, cells of WBC-Malignant-Early-025 numbered as in Table 4.</w:t>
      </w:r>
      <w:r>
        <w:rPr>
          <w:rFonts w:ascii="Times New Roman" w:cs="Times New Roman" w:eastAsia="Times New Roman" w:hAnsi="Times New Roman"/>
          <w:sz w:val="21"/>
          <w:szCs w:val="21"/>
        </w:rPr>
        <w:t xml:space="preserve">	61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13. Training of the attention head.</w:t>
      </w:r>
      <w:r>
        <w:rPr>
          <w:rFonts w:ascii="Times New Roman" w:cs="Times New Roman" w:eastAsia="Times New Roman" w:hAnsi="Times New Roman"/>
          <w:sz w:val="21"/>
          <w:szCs w:val="21"/>
        </w:rPr>
        <w:t xml:space="preserve">	62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14. Example images of the four classes.</w:t>
      </w:r>
      <w:r>
        <w:rPr>
          <w:rFonts w:ascii="Times New Roman" w:cs="Times New Roman" w:eastAsia="Times New Roman" w:hAnsi="Times New Roman"/>
          <w:sz w:val="21"/>
          <w:szCs w:val="21"/>
        </w:rPr>
        <w:t xml:space="preserve">	63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15. Denoising benchmark.</w:t>
      </w:r>
      <w:r>
        <w:rPr>
          <w:rFonts w:ascii="Times New Roman" w:cs="Times New Roman" w:eastAsia="Times New Roman" w:hAnsi="Times New Roman"/>
          <w:sz w:val="21"/>
          <w:szCs w:val="21"/>
        </w:rPr>
        <w:t xml:space="preserve">	64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16. (a) Pooled out-of-fold confusion matrix.</w:t>
      </w:r>
      <w:r>
        <w:rPr>
          <w:rFonts w:ascii="Times New Roman" w:cs="Times New Roman" w:eastAsia="Times New Roman" w:hAnsi="Times New Roman"/>
          <w:sz w:val="21"/>
          <w:szCs w:val="21"/>
        </w:rPr>
        <w:t xml:space="preserve">	65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17. Balanced accuracy of the five input representations.</w:t>
      </w:r>
      <w:r>
        <w:rPr>
          <w:rFonts w:ascii="Times New Roman" w:cs="Times New Roman" w:eastAsia="Times New Roman" w:hAnsi="Times New Roman"/>
          <w:sz w:val="21"/>
          <w:szCs w:val="21"/>
        </w:rPr>
        <w:t xml:space="preserve">	66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18. Dependence of accuracy on proximity in capture number.</w:t>
      </w:r>
      <w:r>
        <w:rPr>
          <w:rFonts w:ascii="Times New Roman" w:cs="Times New Roman" w:eastAsia="Times New Roman" w:hAnsi="Times New Roman"/>
          <w:sz w:val="21"/>
          <w:szCs w:val="21"/>
        </w:rPr>
        <w:t xml:space="preserve">	67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19. Discrimination of each class from the other three on the pooled out-of-fold predictions.</w:t>
      </w:r>
      <w:r>
        <w:rPr>
          <w:rFonts w:ascii="Times New Roman" w:cs="Times New Roman" w:eastAsia="Times New Roman" w:hAnsi="Times New Roman"/>
          <w:sz w:val="21"/>
          <w:szCs w:val="21"/>
        </w:rPr>
        <w:t xml:space="preserve">	68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20. Calibration of the temperature-scaled probabilities on the pooled out-of-fold predictions.</w:t>
      </w:r>
      <w:r>
        <w:rPr>
          <w:rFonts w:ascii="Times New Roman" w:cs="Times New Roman" w:eastAsia="Times New Roman" w:hAnsi="Times New Roman"/>
          <w:sz w:val="21"/>
          <w:szCs w:val="21"/>
        </w:rPr>
        <w:t xml:space="preserve">	69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21. Dependence of the accuracy of the headline model on the number of cells that the pipeline found in.</w:t>
      </w:r>
      <w:r>
        <w:rPr>
          <w:rFonts w:ascii="Times New Roman" w:cs="Times New Roman" w:eastAsia="Times New Roman" w:hAnsi="Times New Roman"/>
          <w:sz w:val="21"/>
          <w:szCs w:val="21"/>
        </w:rPr>
        <w:t xml:space="preserve">	70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22. Training curves of the low-rank adaptation of DinoBloom-S.</w:t>
      </w:r>
      <w:r>
        <w:rPr>
          <w:rFonts w:ascii="Times New Roman" w:cs="Times New Roman" w:eastAsia="Times New Roman" w:hAnsi="Times New Roman"/>
          <w:sz w:val="21"/>
          <w:szCs w:val="21"/>
        </w:rPr>
        <w:t xml:space="preserve">	71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23. Balanced accuracy of the fine-tuned configurations.</w:t>
      </w:r>
      <w:r>
        <w:rPr>
          <w:rFonts w:ascii="Times New Roman" w:cs="Times New Roman" w:eastAsia="Times New Roman" w:hAnsi="Times New Roman"/>
          <w:sz w:val="21"/>
          <w:szCs w:val="21"/>
        </w:rPr>
        <w:t xml:space="preserve">	72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24. Confusion matrix of the best fine-tuned configuration.</w:t>
      </w:r>
      <w:r>
        <w:rPr>
          <w:rFonts w:ascii="Times New Roman" w:cs="Times New Roman" w:eastAsia="Times New Roman" w:hAnsi="Times New Roman"/>
          <w:sz w:val="21"/>
          <w:szCs w:val="21"/>
        </w:rPr>
        <w:t xml:space="preserve">	73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25. Attention of the headline model for one correctly classified test image of each class.</w:t>
      </w:r>
      <w:r>
        <w:rPr>
          <w:rFonts w:ascii="Times New Roman" w:cs="Times New Roman" w:eastAsia="Times New Roman" w:hAnsi="Times New Roman"/>
          <w:sz w:val="21"/>
          <w:szCs w:val="21"/>
        </w:rPr>
        <w:t xml:space="preserve">	74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26. Two-dimensional t-distributed stochastic neighbour embedding projection of the image embeddings of the frozen headline encoder.</w:t>
      </w:r>
      <w:r>
        <w:rPr>
          <w:rFonts w:ascii="Times New Roman" w:cs="Times New Roman" w:eastAsia="Times New Roman" w:hAnsi="Times New Roman"/>
          <w:sz w:val="21"/>
          <w:szCs w:val="21"/>
        </w:rPr>
        <w:t xml:space="preserve">	75</w:t>
      </w:r>
    </w:p>
    <w:p>
      <w:r>
        <w:br w:type="page"/>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is the most common cancer of childhood and is characterised by the uncontrolled proliferation of immature lymphoid cells in the bone marrow and blood. Examination of a stained peripheral blood smear is an inexpensive first step in diagnosis, but it depends on the availability of trained hematologists, and agreement between observers on the morphology of individual blasts is imperfect. Automated analysis of peripheral blood smear images has therefore been studied for more than a decade, including classical image-processing pipelines (Labati et al. 2011) and, more recently, deep convolutional networks and vision transformers (Ghaderzadeh et al. 2022).</w:t>
      </w:r>
    </w:p>
    <w:p>
      <w:pPr>
        <w:spacing w:line="480" w:lineRule="auto"/>
        <w:ind w:firstLine="720"/>
        <w:jc w:val="left"/>
      </w:pPr>
      <w:r>
        <w:rPr>
          <w:rFonts w:ascii="Times New Roman" w:cs="Times New Roman" w:eastAsia="Times New Roman" w:hAnsi="Times New Roman"/>
        </w:rPr>
        <w:t xml:space="preserve">Public datasets have made this research possible, and some studies report very high accuracies.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Shortcut learning (Geirhos et al. 2020) has produced spurious predictors in radiographic classifiers (DeGrave et al. 2021), and data leakage is a documented cause of overoptimism in machine-learning-based science (Kapoor and Narayanan 2023).</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neighbouring file numbers have more similar backgrounds in three of the four classes, which is consistent with the numbering following the order of image capture.</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small trained head on frozen features of such a model (here a gated-attention pooling head)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 (in that case myeloid, not lymphoblastic,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the first four are supported by result files released with the code, and the fifth is implemented and tested in code but was not run.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a contiguous session-aware protocol with an embargo of 37 capture numbers?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colour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all of these pairs are consecutive images of the Pro class and fall in the same contiguous fold.</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the stages listed in Table 2.</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that combines Perona-Malik anisotropic diffusion (Perona and Malik 1990) with total-variation regularisation. The original repository implemented the diffusion without a bound on the diffusivity, and the result made the image worse (Table 3). My version normalises the diffusivity to at most 1, uses a time step of 0.2, and adds a fidelity term, which makes the iteration bounded; a test with 3000 iterations confirmed that the output stays finite and inside the input range. The benchmark in Table 3 uses a synthetic scene (a disc and a square on a flat background) with added Gaussian noise, one noise draw per level; it does not use dataset images, and its bilateral filter (diameter 9, colour sigma 0.2, space sigma 5 on an image scaled to [0, 1]) differs from the pipeline setting.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response with scale normalisation, a Canny edge map, and an adaptive principal-curvature response,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light-grey fill (L</w:t>
      </w:r>
      <w:r>
        <w:rPr>
          <w:rFonts w:ascii="Times New Roman" w:cs="Times New Roman" w:eastAsia="Times New Roman" w:hAnsi="Times New Roman"/>
          <w:i/>
          <w:iCs/>
        </w:rPr>
        <w:t xml:space="preserve"> = 92, a</w:t>
      </w:r>
      <w:r>
        <w:rPr>
          <w:rFonts w:ascii="Times New Roman" w:cs="Times New Roman" w:eastAsia="Times New Roman" w:hAnsi="Times New Roman"/>
        </w:rPr>
        <w:t xml:space="preserve"> = b* = 0)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5-fold grouped cross-validation over the 37-image capture blocks (without embargo, and therefore less strict than the contiguous folds used later; the probes may score lower under the stricter protocol). If a quantity that contains no information about the cells predicts the class far above chance (0.25), the dataset contains a shortcut. The audit is also applied to the neutralised images, where the background and corner probes are expected to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distance between their background colours (Lab, brightest 30% of pixels)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is the mean number of images per patient implied by the documented 89 patients (3256/89); this assumes patient runs of equal length, which I could not verify.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(the stain reference, fitted once on 20 images without labels, was not refitted per fold, and those images can include test-fold images):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head (a 256-unit projection, attention pooling and the classifier; about 166,000 parameters) was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central processor only, with Python 3.11, PyTorch (Paszke et al. 2019) 2.14, scikit-learn 1.9, OpenCV (Bradski 2000) and scikit-image. The code is covered by 189 automated tests. The pipeline configuration hash of the run reported here is 9136b9beac982264; the model configuration hash is 5e8dd4b86e31ac7c. Numbers are read from result files in the repository by the script that builds the manuscript, unless stated.</w:t>
      </w:r>
    </w:p>
    <w:p>
      <w:pPr>
        <w:keepNext/>
        <w:spacing w:line="480" w:lineRule="auto"/>
        <w:jc w:val="left"/>
      </w:pPr>
      <w:r>
        <w:rPr>
          <w:rFonts w:ascii="Times New Roman" w:cs="Times New Roman" w:eastAsia="Times New Roman" w:hAnsi="Times New Roman"/>
          <w:b/>
          <w:bCs/>
          <w:i/>
          <w:iCs/>
        </w:rPr>
        <w:t xml:space="preserve">Processing stages and their outputs</w:t>
      </w:r>
    </w:p>
    <w:p>
      <w:pPr>
        <w:spacing w:line="480" w:lineRule="auto"/>
        <w:ind w:firstLine="720"/>
        <w:jc w:val="left"/>
      </w:pPr>
      <w:r>
        <w:rPr>
          <w:rFonts w:ascii="Times New Roman" w:cs="Times New Roman" w:eastAsia="Times New Roman" w:hAnsi="Times New Roman"/>
        </w:rPr>
        <w:t xml:space="preserve">The processing pipeline consists of the stages named in the project description - hybrid-diffusion edge detection, adaptive principal-curvature structure detection, ensemble mode decomposition, selection of pure intrinsic mode functions and morphological feature extraction - together with the stages that prepare the images for them and for the classifier. Each stage is implemented and covered by automated tests. A separate pass of the pipeline with hybrid diffusion and ensemble mode decomposition enabled processed all 3256 images, and the example figures below show the input and output of every stage on real images of the dataset. Table 2 lists the stages and the role that each plays in the experiments.</w:t>
      </w:r>
    </w:p>
    <w:p>
      <w:pPr>
        <w:spacing w:line="480" w:lineRule="auto"/>
        <w:ind w:firstLine="720"/>
        <w:jc w:val="left"/>
      </w:pPr>
      <w:r>
        <w:rPr>
          <w:rFonts w:ascii="Times New Roman" w:cs="Times New Roman" w:eastAsia="Times New Roman" w:hAnsi="Times New Roman"/>
        </w:rPr>
        <w:t xml:space="preserve">Two clarifications on scope follow. First, the pixel input of the headline model is the neutralised cell crop of stage 9, so the response layers and the hybrid diffusion and ensemble mode decomposition outputs enter the classification only through hand-made features, which are evaluated in a separate tabular analysis (Results, Contribution of the processing stages); they are not channels of the foundation-model input. Second, the description of the adaptive principal-curvature stage as blood-vessel segmentation in the project title does not apply literally to peripheral blood smears, which contain no vessels; the adaptive principal-curvature response of the Hessian is computed as specified and highlights cell boundaries and thin structures, and I report what it measures and not what its name suggests.</w:t>
      </w:r>
    </w:p>
    <w:p>
      <w:pPr>
        <w:spacing w:line="480" w:lineRule="auto"/>
        <w:ind w:firstLine="720"/>
        <w:jc w:val="left"/>
      </w:pPr>
      <w:r>
        <w:rPr>
          <w:rFonts w:ascii="Times New Roman" w:cs="Times New Roman" w:eastAsia="Times New Roman" w:hAnsi="Times New Roman"/>
          <w:i/>
          <w:iCs/>
        </w:rPr>
        <w:t xml:space="preserve">Stage 1, stain normalisation</w:t>
      </w:r>
      <w:r>
        <w:rPr>
          <w:rFonts w:ascii="Times New Roman" w:cs="Times New Roman" w:eastAsia="Times New Roman" w:hAnsi="Times New Roman"/>
        </w:rPr>
        <w:t xml:space="preserve"> (Fig. 4). The stage maps the colour statistics of the foreground of each image to the reference (Methods, Formal description). The example shows that images of different classes have different background tints before normalisation and that normalisation reduces but does not remove them. It takes 5.7 ms per image.</w:t>
      </w:r>
    </w:p>
    <w:p>
      <w:pPr>
        <w:spacing w:line="480" w:lineRule="auto"/>
        <w:ind w:firstLine="720"/>
        <w:jc w:val="left"/>
      </w:pPr>
      <w:r>
        <w:rPr>
          <w:rFonts w:ascii="Times New Roman" w:cs="Times New Roman" w:eastAsia="Times New Roman" w:hAnsi="Times New Roman"/>
          <w:i/>
          <w:iCs/>
        </w:rPr>
        <w:t xml:space="preserve">Stage 2, denoising</w:t>
      </w:r>
      <w:r>
        <w:rPr>
          <w:rFonts w:ascii="Times New Roman" w:cs="Times New Roman" w:eastAsia="Times New Roman" w:hAnsi="Times New Roman"/>
        </w:rPr>
        <w:t xml:space="preserve"> (Fig. 5). The default denoiser is the bilateral filter (diameter 9, colour and space sigma 75), which preserves boundaries by weighting neighbours by both distance and similarity of intensity (Tomasi and Manduchi 1998). The stabilised diffusion is shown next to it. Both remove fine noise and keep the cell outlines; the difference image shows that the diffusion changes mostly the interior of cells and the boundaries, in places where the unfiltered image has fine texture. The bilateral filter takes 6.4 ms and the diffusion 58 ms per image; the diffusion stopped after 30 iterations in the example.</w:t>
      </w:r>
    </w:p>
    <w:p>
      <w:pPr>
        <w:spacing w:line="480" w:lineRule="auto"/>
        <w:ind w:firstLine="720"/>
        <w:jc w:val="left"/>
      </w:pPr>
      <w:r>
        <w:rPr>
          <w:rFonts w:ascii="Times New Roman" w:cs="Times New Roman" w:eastAsia="Times New Roman" w:hAnsi="Times New Roman"/>
          <w:i/>
          <w:iCs/>
        </w:rPr>
        <w:t xml:space="preserve">Stage 3, hybrid-diffusion edge detection</w:t>
      </w:r>
      <w:r>
        <w:rPr>
          <w:rFonts w:ascii="Times New Roman" w:cs="Times New Roman" w:eastAsia="Times New Roman" w:hAnsi="Times New Roman"/>
        </w:rPr>
        <w:t xml:space="preserve"> (Fig. 6). The edge indicator is derived from the diffusivity of the denoised image: where the intensity gradient is small the diffusivity is close to 1 and the indicator close to 0, and across strong edges the diffusivity is small and the indicator is close to 1. It is computed on a fixed scale, so that its values are comparable between images, unlike a per-image rescaled edge map. In the examples it marks the outlines of cells and of red blood cells alike; it does not distinguish the cells of interest from the other cells, which is the task of the segmentation.</w:t>
      </w:r>
    </w:p>
    <w:p>
      <w:pPr>
        <w:spacing w:line="480" w:lineRule="auto"/>
        <w:ind w:firstLine="720"/>
        <w:jc w:val="left"/>
      </w:pPr>
      <w:r>
        <w:rPr>
          <w:rFonts w:ascii="Times New Roman" w:cs="Times New Roman" w:eastAsia="Times New Roman" w:hAnsi="Times New Roman"/>
          <w:i/>
          <w:iCs/>
        </w:rPr>
        <w:t xml:space="preserve">Stages 4 and 5, response layers</w:t>
      </w:r>
      <w:r>
        <w:rPr>
          <w:rFonts w:ascii="Times New Roman" w:cs="Times New Roman" w:eastAsia="Times New Roman" w:hAnsi="Times New Roman"/>
        </w:rPr>
        <w:t xml:space="preserve"> (Fig. 7). The adaptive principal-curvature layer is the weighted sum of the absolute values of the two Hessian eigenvalues, normalised by the square of the scale; it is large for curved structures such as cell outlines and thin folds. The Laplacian-of-Gaussian layer responds to blobs of the chosen scale, and the Canny layer is a binary edge map with an Otsu-derived threshold. In the example, the adaptive principal-curvature and Laplacian-of-Gaussian layers both highlight the boundary of the cells and also the boundaries of the red blood cells, so, like the edge indicator, they are not specific to leukocytes.</w:t>
      </w:r>
    </w:p>
    <w:p>
      <w:pPr>
        <w:spacing w:line="480" w:lineRule="auto"/>
        <w:ind w:firstLine="720"/>
        <w:jc w:val="left"/>
      </w:pPr>
      <w:r>
        <w:rPr>
          <w:rFonts w:ascii="Times New Roman" w:cs="Times New Roman" w:eastAsia="Times New Roman" w:hAnsi="Times New Roman"/>
          <w:i/>
          <w:iCs/>
        </w:rPr>
        <w:t xml:space="preserve">Stages 6 and 7, ensemble mode decomposition and pure-mode selection</w:t>
      </w:r>
      <w:r>
        <w:rPr>
          <w:rFonts w:ascii="Times New Roman" w:cs="Times New Roman" w:eastAsia="Times New Roman" w:hAnsi="Times New Roman"/>
        </w:rPr>
        <w:t xml:space="preserve"> (Fig. 8). The decomposition separates the luminance into 4 modes with characteristic periods of 3.8, 7.5, 11.7, 19.9 pixels, from fine to coarse, and a smooth residue; the reconstruction error was 1.2e-07 (rounding). The decomposition takes 0.75 s per image on a central processor, which makes it the most expensive stage by an order of magnitude. The selection rule keeps a mode if its characteristic period lies between 3 and 48 pixels, which rejects pixel noise and illumination drift, and if it carries at least 1% of the detail energy. This rule is my own interpretable choice, because the project description did not define the criterion precisely. In the example, all 4 of 4 modes were kept, so the pure-mode image equals the sum of the modes; the share of images in which a mode is rejected is reported in the Results.</w:t>
      </w:r>
    </w:p>
    <w:p>
      <w:pPr>
        <w:spacing w:line="480" w:lineRule="auto"/>
        <w:ind w:firstLine="720"/>
        <w:jc w:val="left"/>
      </w:pPr>
      <w:r>
        <w:rPr>
          <w:rFonts w:ascii="Times New Roman" w:cs="Times New Roman" w:eastAsia="Times New Roman" w:hAnsi="Times New Roman"/>
          <w:i/>
          <w:iCs/>
        </w:rPr>
        <w:t xml:space="preserve">Stage 8, segmentation</w:t>
      </w:r>
      <w:r>
        <w:rPr>
          <w:rFonts w:ascii="Times New Roman" w:cs="Times New Roman" w:eastAsia="Times New Roman" w:hAnsi="Times New Roman"/>
        </w:rPr>
        <w:t xml:space="preserve"> (Fig. 9). The a* score separates leukocytes from the red cells and the background, and the instance labels separate most touching cells; the outlines on the denoised image follow the cells closely. Failure modes are visible in the figure: touching cells that are not split (the Benign example of the attention figure), cells at the border that are cut by the frame, and nuclei that are found only for part of the cells.</w:t>
      </w:r>
    </w:p>
    <w:p>
      <w:pPr>
        <w:spacing w:line="480" w:lineRule="auto"/>
        <w:ind w:firstLine="720"/>
        <w:jc w:val="left"/>
      </w:pPr>
      <w:r>
        <w:rPr>
          <w:rFonts w:ascii="Times New Roman" w:cs="Times New Roman" w:eastAsia="Times New Roman" w:hAnsi="Times New Roman"/>
          <w:i/>
          <w:iCs/>
        </w:rPr>
        <w:t xml:space="preserve">Stage 9, neutralisation and crops</w:t>
      </w:r>
      <w:r>
        <w:rPr>
          <w:rFonts w:ascii="Times New Roman" w:cs="Times New Roman" w:eastAsia="Times New Roman" w:hAnsi="Times New Roman"/>
        </w:rPr>
        <w:t xml:space="preserve"> (Figs. 10 and 11). The neutralisation removes the background, the red blood cells and the scale bar, so that the colour tint of the slide and the overlay no longer reach the encoder; the crop of each cell is then isolated from its neighbours. This is the input of the headline model.</w:t>
      </w:r>
    </w:p>
    <w:p>
      <w:pPr>
        <w:spacing w:line="480" w:lineRule="auto"/>
        <w:ind w:firstLine="720"/>
        <w:jc w:val="left"/>
      </w:pPr>
      <w:r>
        <w:rPr>
          <w:rFonts w:ascii="Times New Roman" w:cs="Times New Roman" w:eastAsia="Times New Roman" w:hAnsi="Times New Roman"/>
          <w:i/>
          <w:iCs/>
        </w:rPr>
        <w:t xml:space="preserve">Stage 10, morphological feature extraction</w:t>
      </w:r>
      <w:r>
        <w:rPr>
          <w:rFonts w:ascii="Times New Roman" w:cs="Times New Roman" w:eastAsia="Times New Roman" w:hAnsi="Times New Roman"/>
        </w:rPr>
        <w:t xml:space="preserve"> (Fig. 12, Table 4). For every cell, the pipeline measures shape (area, diameter, aspect ratio, solidity, circularity), colour, texture (grey-level co-occurrence statistics (Haralick et al. 1973) and entropy) and the statistics of the response layers. The values in the table are those of the cells of the example image. The per-cell vectors are averaged over the cells of an image for the tabular analyses. The complete segmentation, feature and layer computation for one image (stages 2 to 10 without hybrid diffusion and ensemble mode decomposition) takes 0.08 s.</w:t>
      </w:r>
    </w:p>
    <w:p>
      <w:pPr>
        <w:keepNext/>
        <w:spacing w:line="480" w:lineRule="auto"/>
        <w:jc w:val="left"/>
      </w:pPr>
      <w:r>
        <w:rPr>
          <w:rFonts w:ascii="Times New Roman" w:cs="Times New Roman" w:eastAsia="Times New Roman" w:hAnsi="Times New Roman"/>
          <w:b/>
          <w:bCs/>
          <w:i/>
          <w:iCs/>
        </w:rPr>
        <w:t xml:space="preserve">Stage 11, classification</w:t>
      </w:r>
    </w:p>
    <w:p>
      <w:pPr>
        <w:spacing w:line="480" w:lineRule="auto"/>
        <w:ind w:firstLine="720"/>
        <w:jc w:val="left"/>
      </w:pPr>
      <w:r>
        <w:rPr>
          <w:rFonts w:ascii="Times New Roman" w:cs="Times New Roman" w:eastAsia="Times New Roman" w:hAnsi="Times New Roman"/>
        </w:rPr>
        <w:t xml:space="preserve">The final stage is the classification of the image from the isolated cells, described in the previous subsections. The preceding stages determine which cells the model sees and what it sees of them.</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below 1/(4 + lambda) = 0.23,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the median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of the background are subtracted from the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graphics processor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over the 30-epoch budget (Fig. 13c; training stopped earlier in every fold).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area under the receiver operating characteristic curve is the macro average of one-vs-rest areas under the receiver operating characteristic computed from the rank statistic. The expected calibration error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central processor.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central processor, and the graphics processor configurations have not been run.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central processor.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14.</w:t>
      </w:r>
    </w:p>
    <w:p>
      <w:pPr>
        <w:spacing w:line="480" w:lineRule="auto"/>
        <w:ind w:firstLine="720"/>
        <w:jc w:val="left"/>
      </w:pPr>
      <w:r>
        <w:rPr>
          <w:rFonts w:ascii="Times New Roman" w:cs="Times New Roman" w:eastAsia="Times New Roman" w:hAnsi="Times New Roman"/>
        </w:rPr>
        <w:t xml:space="preserve">For a synthetic scene with Gaussian noise of standard deviation 0.05-0.12, the stabilised diffusion improved the peak signal-to-noise ratio by 12.3 dB on average, comparable with bilateral filtering (11.2 dB) and above Gaussian smoothing (4.1 dB), whereas the original scheme made the image worse (-17.2 dB; Table 3, Fig. 15). On the synthetic textured disc, the correlation of the filtered texture with the true texture pattern was 0.37 for stabilised diffusion and 0.29 for bilateral filtering (0.50 for the noisy input), so stabilised diffusion preserved more of the texture; this is a single synthetic example.</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5).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have not explained; cell pixels near the corner may contribute, but I did not test this.</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5).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6, Fig. 16), the pooled out-of-fold balanced accuracy was 0.968 (95% confidence interval 0.955-0.978) and the macro-F1 was 0.967 (95% confidence interval 0.950-0.978). The area under the receiver operating characteristic curve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central processor.</w:t>
      </w:r>
    </w:p>
    <w:p>
      <w:pPr>
        <w:spacing w:line="480" w:lineRule="auto"/>
        <w:ind w:firstLine="720"/>
        <w:jc w:val="left"/>
      </w:pPr>
      <w:r>
        <w:rPr>
          <w:rFonts w:ascii="Times New Roman" w:cs="Times New Roman" w:eastAsia="Times New Roman" w:hAnsi="Times New Roman"/>
        </w:rPr>
        <w:t xml:space="preserve">Calibration improved with temperature scaling: the mean per-fold expected calibration error fell from 0.121 (uncalibrated) to 0.021 (temperature-scaled), and the pooled temperature-scaled value was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7 and Fig. 17 compare five inputs under the same protocol. Isolated cells with a neutral background (A) gave a balanced accuracy of 0.959 (95% confidence interval 0.944-0.973). Removing stain colour (B, grayscale) lowered it by 0.018 (95% confidence interval 0.010-0.027, Holm-adjusted p &lt;= 0.004, the minimum attainable with 1000 resamples),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block folds gave higher accuracy, and removing neighbours hurt more than random removal</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8).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9, Fig. 18a).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10, Fig. 18b):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Contribution of the processing stages</w:t>
      </w:r>
    </w:p>
    <w:p>
      <w:pPr>
        <w:spacing w:line="480" w:lineRule="auto"/>
        <w:ind w:firstLine="720"/>
        <w:jc w:val="left"/>
      </w:pPr>
      <w:r>
        <w:rPr>
          <w:rFonts w:ascii="Times New Roman" w:cs="Times New Roman" w:eastAsia="Times New Roman" w:hAnsi="Times New Roman"/>
        </w:rPr>
        <w:t xml:space="preserve">To measure what each stage adds, I trained the same logistic head on image-level means of hand-made features, one feature family at a time and in combination, from a pass of the pipeline in which hybrid diffusion and ensemble mode decomposition were enabled (Table 11). Each variant sees only the named features and no pixels. Shape features alone gave a balanced accuracy of 0.528, texture features 0.662, and both together 0.719. The layer statistics alone gave 0.571, 0.507, 0.551 (hybrid-diffusion edge indicator), 0.515 (pure-mode layer) and 0.446 (mode energies).</w:t>
      </w:r>
    </w:p>
    <w:p>
      <w:pPr>
        <w:spacing w:line="480" w:lineRule="auto"/>
        <w:ind w:firstLine="720"/>
        <w:jc w:val="left"/>
      </w:pPr>
      <w:r>
        <w:rPr>
          <w:rFonts w:ascii="Times New Roman" w:cs="Times New Roman" w:eastAsia="Times New Roman" w:hAnsi="Times New Roman"/>
        </w:rPr>
        <w:t xml:space="preserve">Adding the response layers to shape and texture changed the balanced accuracy from 0.719 to 0.825 (difference +0.104, 95% confidence interval +0.081 to +0.127, Holm p = 0.003); adding the hybrid-diffusion edge indicator then gave 0.850 (+0.133 relative to shape and texture, Holm p = 0.003), and adding the ensemble mode decomposition features gave 0.875 (+0.156, Holm p = 0.003). For comparison, the frozen encoder alone reached 0.959 (Table 7).</w:t>
      </w:r>
    </w:p>
    <w:p>
      <w:pPr>
        <w:spacing w:line="480" w:lineRule="auto"/>
        <w:ind w:firstLine="720"/>
        <w:jc w:val="left"/>
      </w:pPr>
      <w:r>
        <w:rPr>
          <w:rFonts w:ascii="Times New Roman" w:cs="Times New Roman" w:eastAsia="Times New Roman" w:hAnsi="Times New Roman"/>
        </w:rPr>
        <w:t xml:space="preserve">Two cautions apply to these numbers. First, the variants differ in the number of features, so part of the increase can come from the larger number of dimensions and not from the stage itself; I did not equalise the dimensionality. Second, statistics of an edge, curvature or mode layer depend on the focus, sharpness and noise level of an image, which are properties of the acquisition. The session-aware folds reduce the chance that the gain comes from memorised sessions, but they cannot exclude that these statistics carry class-specific acquisition characteristics, as the colour of the cells does. The gains are therefore evidence that the stages produce class-related information, not evidence that this information is morphological.</w:t>
      </w:r>
    </w:p>
    <w:p>
      <w:pPr>
        <w:spacing w:line="480" w:lineRule="auto"/>
        <w:ind w:firstLine="720"/>
        <w:jc w:val="left"/>
      </w:pPr>
      <w:r>
        <w:rPr>
          <w:rFonts w:ascii="Times New Roman" w:cs="Times New Roman" w:eastAsia="Times New Roman" w:hAnsi="Times New Roman"/>
        </w:rPr>
        <w:t xml:space="preserve">The pure-mode rule kept the first to fourth mode in 100.0%, 100.0%, 100.0%, 100.0% of the 3256 images, respectively; in 100.0% of the images all modes were kept and in 0.0% none. A selection rule that keeps nearly every mode adds little to the decomposition itself; the information gained from the ensemble mode decomposition stage should be judged from Table 11, not from the selection.</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12 summarises the per-cell measurements for the 26202 cells that do not touch the border. Cell size differed between classes: the median area was 360 pixels for Benign, 486 for Early, 447 for Pre and 401 for Pro, with the Benign cells the smallest. Measures of the outline - aspect ratio, solidity and circularity - were close to identical in the four classes (for example, the median solidity was 0.95 to 0.96 in all of them), so the medians of the outline measures were similar across classes, although a random forest on image-level shape features reached 0.685 (Table 5), so similar medians do not mean that shape carries no class information.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differs from the others in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and Early differs in L* (median 62.7 against 68.5 to 68.4). The colour statistics were computed after stain normalisation. These differences may reflect the staining conditions of the sessions that the shortcut audit detected, or biology; the data cannot separate the two.</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13).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13b),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receiver operating characteristic curve of the pooled out-of-fold probabilities was 0.996 for Benign, 0.995 for Early, 0.988 for Pre and 0.999 for Pro (Fig. 19a). The area under the precision-recall curve was 0.986, 0.984, 0.986 and 0.993 (Fig. 19b). The Pre class had the lowest area under the receiver operating characteristic curve although its precision-recall area was similar to that of the other classes, while its precision-recall area was similar to that of the other classes.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mean per-fold expected calibration error was 0.121, and the fitted temperature was below 1 in every fold (range 0.24-0.55). After scaling, the mean per-fold error was 0.021 and the pooled error was 0.010 (Fig. 20a). The median confidence was 0.998 for correct and 0.811 for incorrect predictions (Fig. 20b); whether this separation is useful for flagging images for review was not evaluated.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21a). Images in which the pipeline found one to three cells were classified correctly in 87.4% of cases (n = 294), against 98.4% for six to eight cells (n = 929) and 98.6% for nine to twelve (n = 565). I did not investigate the cause; images with few cells give the model fewer cells to pool, and the segmentation may have missed cells in some of them, but I did not check this image by image. The largest attention weight of an image had a median of 0.24, which is about 1.9 times the weight that uniform attention would give (Fig. 21b),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Of the 104 errors, 47 involved the Benign class, as true or predicted class. Of the 27 Early images that were misclassified, 14 were called Benign, 7 Pre and 6 Pro. Of the 41 misclassified Pre images, 10 were called Benign, 16 Early and 15 Pro. Benign images were called Early (9), Pre (10) or Pro (1) in 20 cases, and 16 of 804 Pro images were misclassified. The Benign class (hematogones) is not a maturation stage of the malignant classes, and I did not have a second reading of the images, so I cannot say how human readers would perform on these images.</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therefore defined (Methods, Hyperparameters of the planned fine-tuning experiments): low-rank adaptation of DinoBloom-S with colour (g01), in grayscale (g02) and with a feature branch (g03); full fine-tuning of two convolutional networks (g04, g05); low-rank adaptation of a generic DINOv2 model (g06) and of the larger DinoBloom-B (g07); and adaptation with the background left in the image (g08), which is a deliberate shortcut control. Table 13 is reserved for the results of these runs.</w:t>
      </w:r>
    </w:p>
    <w:p>
      <w:pPr>
        <w:spacing w:line="480" w:lineRule="auto"/>
        <w:ind w:firstLine="720"/>
        <w:jc w:val="left"/>
      </w:pPr>
      <w:r>
        <w:rPr>
          <w:rFonts w:ascii="Times New Roman" w:cs="Times New Roman" w:eastAsia="Times New Roman" w:hAnsi="Times New Roman"/>
          <w:b/>
          <w:bCs/>
        </w:rPr>
        <w:t xml:space="preserve">[[GPU: 8 of 8 configurations have no result file yet. Write here: (1) the balanced accuracy of g01 compared with the frozen reference, with the paired-bootstrap difference and Holm-adjusted p value; (2) the effect of colour (g01 vs g02); (3) the effect of the feature branch (g03 vs g01); (4) the ordering of the encoders (g01, g04, g05, g06, g07); (5) the shortcut control (g08 vs g01). Delete this paragraph if the runs are not performed.]]</w:t>
      </w:r>
    </w:p>
    <w:p>
      <w:pPr>
        <w:spacing w:line="480" w:lineRule="auto"/>
        <w:ind w:firstLine="720"/>
        <w:jc w:val="left"/>
      </w:pPr>
      <w:r>
        <w:rPr>
          <w:rFonts w:ascii="Times New Roman" w:cs="Times New Roman" w:eastAsia="Times New Roman" w:hAnsi="Times New Roman"/>
        </w:rPr>
        <w:t xml:space="preserve">Figures 22, 23 and 24 are reserved for the training curves of the adapted model, the comparison of the configurations with their intervals and the confusion matrix of the best configuration; they are currently sample images and show no results.</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25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descriptively; they are not evidence of which cells are causally relevant.</w:t>
      </w:r>
    </w:p>
    <w:p>
      <w:pPr>
        <w:spacing w:line="480" w:lineRule="auto"/>
        <w:ind w:firstLine="720"/>
        <w:jc w:val="left"/>
      </w:pPr>
      <w:r>
        <w:rPr>
          <w:rFonts w:ascii="Times New Roman" w:cs="Times New Roman" w:eastAsia="Times New Roman" w:hAnsi="Times New Roman"/>
        </w:rPr>
        <w:t xml:space="preserve">A two-dimensional projection of the embeddings (Fig. 26a)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26b) shows images of all segments in most regions, so the projection does not place the segments in separate regions; the silhouette coefficient of the segment labels was {f2(EM['silhouette_segment_pca50'])} (class labels: {f2(EM['silhouette_class_pca50'])}), and a two-dimensional projection cannot rule out session information in other directions of the embedding space.</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standard deviation)</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(pixels)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The processing stages, their implementation and their use in this study. "Encoder input" means that the stage determines the pixels given to the foundation model; "tabular" means that the stage provides hand-made features evaluated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700"/>
      </w:tblGrid>
      <w:tr>
        <w:trPr>
          <w:tblHeader/>
        </w:trPr>
        <w:tc>
          <w:tcPr>
            <w:tcW w:type="dxa" w:w="19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Stage</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Implementation</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 and output</w:t>
            </w:r>
          </w:p>
        </w:tc>
        <w:tc>
          <w:tcPr>
            <w:tcW w:type="dxa" w:w="2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Role in the reported experiments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 Stain normalisation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stain.py: Reinhard method in Lab, foreground statistics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 colour to normalised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(all variants except raw)</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 Denoising</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denoise.py: bilateral filter (default) or non-local means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normalised colour to denoised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Used for segmentation and for the response layers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 hybrid-diffusion edge detection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hds.py: stabilised hybrid diffusion; edge indicator</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denoised luminance and edge map in [0, 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 adaptive principal-curvature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 adaptive principal curvature of the Hessian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response layer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Laplacian-of-Gaussian and Canny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blob and edge layers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6 ensemble mode decomposition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ensemble bidimensional empirical mode decomposition, order-statistic envelopes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four intrinsic mode functions and a residue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Pure-intrinsic mode function selection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scale and energy rule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intrinsic mode functions to selection mask and pure-mode image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Same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Segmentation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segmentation.py: a* Otsu, opening, watershed; nucleus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image to cell and nucleus instance labels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Defines the cells for every variant</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9 Neutralisation and crops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neutralise.py, data/crops.py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isolated cell crops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of the headline model</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Morphological features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features.py: shape, colour, grey-level co-occurrence texture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per-cell vector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w:t>
            </w:r>
          </w:p>
        </w:tc>
      </w:tr>
      <w:tr>
        <w:tc>
          <w:tcPr>
            <w:tcW w:type="dxa" w:w="19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Classification</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leukemia_ml: frozen encoder, attention head</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crops to class probabilities</w:t>
            </w:r>
          </w:p>
        </w:tc>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model</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Denoising benchmark on synthetic Gaussian noise (peak signal-to-noise ratio in dB, higher is better). "Original hybrid diffusion" is the diffusion scheme of the original repository; "stabilised hybrid diffusion"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standard deviation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Original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original hybrid diffusion -17.2 dB, stabilised hybrid diffusion +12.3 dB, bilateral +11.2 dB, Gaussian +4.1 dB.</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Stage 10: per-cell measurements of the cells of WBC-Malignant-Early-025 (numbered as in Fig. 12). Columns follow the feature definitions of Appendix III; the last two columns are statistics of the response layers inside the cell (the hybrid-diffusion edge value comes from a separate pass with hybrid diffusion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4"/>
        <w:gridCol w:w="955"/>
        <w:gridCol w:w="955"/>
        <w:gridCol w:w="955"/>
        <w:gridCol w:w="955"/>
        <w:gridCol w:w="955"/>
        <w:gridCol w:w="955"/>
        <w:gridCol w:w="955"/>
        <w:gridCol w:w="955"/>
        <w:gridCol w:w="956"/>
      </w:tblGrid>
      <w:tr>
        <w:trPr>
          <w:tblHeader/>
        </w:trPr>
        <w:tc>
          <w:tcPr>
            <w:tcW w:type="dxa" w:w="7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Diameter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Aspect ratio</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Solidity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Circularity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grey-level co-occurrence contrast</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adaptive principal-curvature</w:t>
            </w:r>
          </w:p>
        </w:tc>
        <w:tc>
          <w:tcPr>
            <w:tcW w:type="dxa" w:w="9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hybrid-diffusion edge</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1043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5.15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r>
        <w:tc>
          <w:tcPr>
            <w:tcW w:type="dxa" w:w="7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bl>
    <w:p>
      <w:pPr>
        <w:spacing w:before="120" w:line="240" w:lineRule="auto"/>
      </w:pPr>
      <w:r>
        <w:rPr>
          <w:rFonts w:ascii="Times New Roman" w:cs="Times New Roman" w:eastAsia="Times New Roman" w:hAnsi="Times New Roman"/>
          <w:sz w:val="20"/>
          <w:szCs w:val="20"/>
        </w:rPr>
        <w:t xml:space="preserve">Cells that touch the image border are included; nuclei were not resolved for most cells (Table 1), so nuclear measurements are not shown.</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Shortcut audit: balanced accuracy of a random-forest classifier that sees only the named quantity, under 5-fold 5-fold grouped cross-validation over 37-image capture blocks without embargo (three random-forest seeds; the standard deviation reflects only the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standard deviation</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expected calibration error: expected calibration error.</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computed from the first-rotation out-of-fold predictions while point values are means over three rotations;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confidence interval)</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a stretch of the capture order per class (for fold-boundary rotations 1 and 2 the stretch wraps around the ends of the sequence), with capture numbers,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five folds and two fold seeds; one random-subset draw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 fold boundaries are not rotated (unlike the scheme comparison), so values differ slightly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11. </w:t>
      </w:r>
      <w:r>
        <w:rPr>
          <w:rFonts w:ascii="Times New Roman" w:cs="Times New Roman" w:eastAsia="Times New Roman" w:hAnsi="Times New Roman"/>
          <w:sz w:val="22"/>
          <w:szCs w:val="22"/>
        </w:rPr>
        <w:t xml:space="preserve">Contribution of the processing stages to classification. Logistic regression on image-level means of the named hand-made features only (no pixels), contiguous session-aware folds with embargo 37, three rotations of the fold boundaries; intervals are 95% cluster-bootstrap intervals (first rotation). Differences are paired against shape + texture, with Holm-adjusted p values over the three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9"/>
        <w:gridCol w:w="828"/>
        <w:gridCol w:w="911"/>
        <w:gridCol w:w="1408"/>
        <w:gridCol w:w="911"/>
        <w:gridCol w:w="1823"/>
      </w:tblGrid>
      <w:tr>
        <w:trPr>
          <w:tblHeader/>
        </w:trPr>
        <w:tc>
          <w:tcPr>
            <w:tcW w:type="dxa" w:w="34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Number</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8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shape + texture (95% confidence interval)</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(morphological)</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0.528</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0.498-0.554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 (GLCM, entropy)</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0.662</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0.626-0.693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0.653</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0.537-0.608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0.568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0.507</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0.473-0.543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 edge indicator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0.510-0.588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pure-IMF layer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0.480-0.550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 energies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0.446</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0.395-0.483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0.719</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0.690-0.752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0.711</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+0.104 (+0.081, +0.127); p = 0.003</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 + HDS edge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0.850</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0.827-0.877</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0.844</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+0.133 (+0.108, +0.159); p = 0.003</w:t>
            </w:r>
          </w:p>
        </w:tc>
      </w:tr>
      <w:tr>
        <w:tc>
          <w:tcPr>
            <w:tcW w:type="dxa" w:w="34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 + pure-IMF layer and IMF energies</w:t>
            </w:r>
          </w:p>
        </w:tc>
        <w:tc>
          <w:tcPr>
            <w:tcW w:type="dxa" w:w="8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0.875</w:t>
            </w:r>
          </w:p>
        </w:tc>
        <w:tc>
          <w:tcPr>
            <w:tcW w:type="dxa" w:w="14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0.854-0.899</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0.872</w:t>
            </w:r>
          </w:p>
        </w:tc>
        <w:tc>
          <w:tcPr>
            <w:tcW w:type="dxa" w:w="18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+0.156 (+0.129, +0.183); p = 0.003</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12.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 to 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 to 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 to 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 to 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 to 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 to 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 to 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 to 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 to 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 to 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 to 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 to 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 to 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 to 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 to 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 to 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 to 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 to 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 to -36.7)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 to -46.5)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 to -32.9)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 to -42.3)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 to 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 to 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 to 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 to 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 to 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 to 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 to 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 to 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 to 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 to 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 to 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 to 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 to 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 to 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 to 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 to 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 to 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 to 0.35)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13.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Entries marked [[GPU]] come from graphics-processor runs that have not been completed; the build script inserts them from the result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the receiver operating characteristic curve</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(grayscale)</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 hand-made feature branch</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EfficientNet-B0,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DINOv2-S (generic),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DinoBloom-B,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raw image with background</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background colours (Lab, brightest 30% of pixels) of images with adjacent capture numbers (dark bars) and between random pairs from "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background colours (Lab, brightest 30% of pixels)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667375" cy="3057525"/>
            <wp:effectExtent t="0" r="0" b="0" l="0"/>
            <wp:docPr id="1" name="fig4" descr="Stage 1, stain normalisation. Top: input images (one per class: WBC-Benign-022, WBC-Malignant-Early-025, WBC-Malignant-Pre-170, WBC-Malignant-Pro-031). Bottom: the same images after Reinhard normalis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Stage 1, stain normalisation. Top: input images (one per class: WBC-Benign-022, WBC-Malignant-Early-025, WBC-Malignant-Pre-170, WBC-Malignant-Pro-031). Bottom: the same images after Reinhard normalisation in Lab space with foreground statistics.</w:t>
      </w:r>
    </w:p>
    <w:p>
      <w:r>
        <w:br w:type="page"/>
      </w:r>
    </w:p>
    <w:p>
      <w:pPr>
        <w:pageBreakBefore/>
        <w:spacing w:after="160" w:line="240" w:lineRule="auto"/>
        <w:jc w:val="center"/>
      </w:pPr>
      <w:r>
        <w:drawing>
          <wp:inline distT="0" distB="0" distL="0" distR="0">
            <wp:extent cx="5667375" cy="3057525"/>
            <wp:effectExtent t="0" r="0" b="0" l="0"/>
            <wp:docPr id="1" name="fig5" descr="Stage 2, denoising of the luminance of WBC-Malignant-Early-025 (top: full image; bottom: zoom on the central region). From left to right: input, bilateral filter, stabilised hybrid diffusion (30 itera"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Stage 2, denoising of the luminance of WBC-Malignant-Early-025 (top: full image; bottom: zoom on the central region). From left to right: input, bilateral filter, stabilised hybrid diffusion (30 iterations), and the absolute difference between input and hybrid diffusion output (amplified four times). Diffusion smooths flat regions and leaves the cell boundaries.</w:t>
      </w:r>
    </w:p>
    <w:p>
      <w:r>
        <w:br w:type="page"/>
      </w:r>
    </w:p>
    <w:p>
      <w:pPr>
        <w:pageBreakBefore/>
        <w:spacing w:after="160" w:line="240" w:lineRule="auto"/>
        <w:jc w:val="center"/>
      </w:pPr>
      <w:r>
        <w:drawing>
          <wp:inline distT="0" distB="0" distL="0" distR="0">
            <wp:extent cx="5667375" cy="3000375"/>
            <wp:effectExtent t="0" r="0" b="0" l="0"/>
            <wp:docPr id="1" name="fig6" descr="Stage 3, hybrid-diffusion edge indicator. Top: luminance of one image per class. Bottom: the edge indicator 1 - mean diffusivity of the denoised image (0 in flat regions, close to 1 across strong edg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0003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Stage 3, hybrid-diffusion edge indicator. Top: luminance of one image per class. Bottom: the edge indicator 1 - mean diffusivity of the denoised image (0 in flat regions, close to 1 across strong edges), on a fixed scale.</w:t>
      </w:r>
    </w:p>
    <w:p>
      <w:r>
        <w:br w:type="page"/>
      </w:r>
    </w:p>
    <w:p>
      <w:pPr>
        <w:pageBreakBefore/>
        <w:spacing w:after="160" w:line="240" w:lineRule="auto"/>
        <w:jc w:val="center"/>
      </w:pPr>
      <w:r>
        <w:drawing>
          <wp:inline distT="0" distB="0" distL="0" distR="0">
            <wp:extent cx="5667375" cy="1590675"/>
            <wp:effectExtent t="0" r="0" b="0" l="0"/>
            <wp:docPr id="1" name="fig7" descr="Stages 4 and 5, response layers of WBC-Malignant-Early-025. From left to right: denoised grey image, adaptive principal-curvature response, Laplacian-of-Gaussian response and Canny edg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590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Stages 4 and 5, response layers of WBC-Malignant-Early-025. From left to right: denoised grey image, adaptive principal-curvature response, Laplacian-of-Gaussian response and Canny edges.</w:t>
      </w:r>
    </w:p>
    <w:p>
      <w:r>
        <w:br w:type="page"/>
      </w:r>
    </w:p>
    <w:p>
      <w:pPr>
        <w:pageBreakBefore/>
        <w:spacing w:after="160" w:line="240" w:lineRule="auto"/>
        <w:jc w:val="center"/>
      </w:pPr>
      <w:r>
        <w:drawing>
          <wp:inline distT="0" distB="0" distL="0" distR="0">
            <wp:extent cx="5667375" cy="3143250"/>
            <wp:effectExtent t="0" r="0" b="0" l="0"/>
            <wp:docPr id="1" name="fig8" descr="Stages 6 and 7, ensemble mode decomposition and pure-mode selection for the luminance of WBC-Malignant-Early-025. The four intrinsic mode functions are ordered from fine to coarse; the title of each 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1432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Stages 6 and 7, ensemble mode decomposition and pure-mode selection for the luminance of WBC-Malignant-Early-025. The four intrinsic mode functions are ordered from fine to coarse; the title of each gives the characteristic spatial period, the share of the detail energy and whether the selection rule keeps the mode. Also shown: the residue, the sum of the selected (pure) modes, and the difference between the input and the sum of all modes and the residue, which is zero up to rounding.</w:t>
      </w:r>
    </w:p>
    <w:p>
      <w:r>
        <w:br w:type="page"/>
      </w:r>
    </w:p>
    <w:p>
      <w:pPr>
        <w:pageBreakBefore/>
        <w:spacing w:after="160" w:line="240" w:lineRule="auto"/>
        <w:jc w:val="center"/>
      </w:pPr>
      <w:r>
        <w:drawing>
          <wp:inline distT="0" distB="0" distL="0" distR="0">
            <wp:extent cx="5667375" cy="4448175"/>
            <wp:effectExtent t="0" r="0" b="0" l="0"/>
            <wp:docPr id="1" name="fig9" descr="Stage 8, cell and nucleus segmentation for one image per class. Top: smoothed a* score. Middle: cell instances after watershed splitting (random colours; border-touching cells included). Bottom: cell "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448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Stage 8, cell and nucleus segmentation for one image per class. Top: smoothed a* score. Middle: cell instances after watershed splitting (random colours; border-touching cells included). Bottom: cell (green) and nucleus (yellow) outlines on the denoised image.</w:t>
      </w:r>
    </w:p>
    <w:p>
      <w:r>
        <w:br w:type="page"/>
      </w:r>
    </w:p>
    <w:p>
      <w:pPr>
        <w:pageBreakBefore/>
        <w:spacing w:after="160" w:line="240" w:lineRule="auto"/>
        <w:jc w:val="center"/>
      </w:pPr>
      <w:r>
        <w:drawing>
          <wp:inline distT="0" distB="0" distL="0" distR="0">
            <wp:extent cx="5667375" cy="3057525"/>
            <wp:effectExtent t="0" r="0" b="0" l="0"/>
            <wp:docPr id="1" name="fig10" descr="Stage 9, shortcut neutralisation. Top: stain-normalised images. Bottom: the same images with everything outside the cells replaced by a neutral fill and the cells white-balanc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Stage 9, shortcut neutralisation. Top: stain-normalised images. Bottom: the same images with everything outside the cells replaced by a neutral fill and the cells white-balanced.</w:t>
      </w:r>
    </w:p>
    <w:p>
      <w:r>
        <w:br w:type="page"/>
      </w:r>
    </w:p>
    <w:p>
      <w:pPr>
        <w:pageBreakBefore/>
        <w:spacing w:after="160" w:line="240" w:lineRule="auto"/>
        <w:jc w:val="center"/>
      </w:pPr>
      <w:r>
        <w:drawing>
          <wp:inline distT="0" distB="0" distL="0" distR="0">
            <wp:extent cx="5667375" cy="1123950"/>
            <wp:effectExtent t="0" r="0" b="0" l="0"/>
            <wp:docPr id="1" name="fig11" descr="Stage 9, outputs for WBC-Malignant-Early-025: the neutralised image, its grey version, and the isolated 112 x 112 crops of the first four cells that are passed to the enco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11239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Stage 9, outputs for WBC-Malignant-Early-025: the neutralised image, its grey version, and the isolated 112 x 112 crops of the first four cells that are passed to the encoder.</w:t>
      </w:r>
    </w:p>
    <w:p>
      <w:r>
        <w:br w:type="page"/>
      </w:r>
    </w:p>
    <w:p>
      <w:pPr>
        <w:pageBreakBefore/>
        <w:spacing w:after="160" w:line="240" w:lineRule="auto"/>
        <w:jc w:val="center"/>
      </w:pPr>
      <w:r>
        <w:drawing>
          <wp:inline distT="0" distB="0" distL="0" distR="0">
            <wp:extent cx="3295650" cy="3295650"/>
            <wp:effectExtent t="0" r="0" b="0" l="0"/>
            <wp:docPr id="1" name="fig12" descr="Stage 10, cells of WBC-Malignant-Early-025 numbered as in Table 4."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2956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Stage 10, cells of WBC-Malignant-Early-025 numbered as in Table 4.</w:t>
      </w:r>
    </w:p>
    <w:p>
      <w:r>
        <w:br w:type="page"/>
      </w:r>
    </w:p>
    <w:p>
      <w:pPr>
        <w:pageBreakBefore/>
        <w:spacing w:after="160" w:line="240" w:lineRule="auto"/>
        <w:jc w:val="center"/>
      </w:pPr>
      <w:r>
        <w:drawing>
          <wp:inline distT="0" distB="0" distL="0" distR="0">
            <wp:extent cx="5848350" cy="2162175"/>
            <wp:effectExtent t="0" r="0" b="0" l="0"/>
            <wp:docPr id="1" name="fig13" descr="Training of the attention head (frozen DinoBloom-S) in each of the five folds. (a) Training loss (label-smoothed, class-weighted cross-entropy), (b) validation balanced accuracy and (c) learning rate "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219575"/>
            <wp:effectExtent t="0" r="0" b="0" l="0"/>
            <wp:docPr id="1" name="fig14" descr="Example images of the four classes (Benign, Early, Pre, Pro) of the dataset, 224 x 224 pixels as supplied. Differences in background colour and illumination between classes are visible, as are scale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219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 as are scale bars of different styles in the image corners (red, black or white).</w:t>
      </w:r>
    </w:p>
    <w:p>
      <w:r>
        <w:br w:type="page"/>
      </w:r>
    </w:p>
    <w:p>
      <w:pPr>
        <w:pageBreakBefore/>
        <w:spacing w:after="160" w:line="240" w:lineRule="auto"/>
        <w:jc w:val="center"/>
      </w:pPr>
      <w:r>
        <w:drawing>
          <wp:inline distT="0" distB="0" distL="0" distR="0">
            <wp:extent cx="4210050" cy="2771775"/>
            <wp:effectExtent t="0" r="0" b="0" l="0"/>
            <wp:docPr id="1" name="fig15" descr="Denoising benchmark (peak signal-to-noise ratio, dB) on synthetic Gaussian noise; stabilised diffusion (solid circles) compared with the unmodified diffusion scheme (inverted triangles), bilateral an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16" descr="(a) Pooled out-of-fold confusion matrix (counts; shading shows row-normalised proportion) and (b) balanced accuracy of each of the five folds for the headline model."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17" descr="Balanced accuracy of the five input representations (A-E, defined in Table 7), with 95% cluster-bootstrap intervals over session groups. Contiguous folds, embargo 37."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Balanced accuracy of the five input representations (A-E, defined in Table 7),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18" descr="Dependence of accuracy on proximity in capture number. (a) Random-block folds: purging training images near the test images (solid) versus removing the same number of training images at random (dash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9" descr="Discrimination of each class from the other three on the pooled out-of-fold predictions. (a) Receiver operating characteristic curves and (b) precision-recall curves of the headline model, with the ar"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19.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20" descr="Calibration of the temperature-scaled probabilities on the pooled out-of-fold predictions. (a) Reliability diagram: observed accuracy against mean confidence in ten confidence bins (the expected calib"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20.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expected calibration error uses 15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21" descr="Dependence of the accuracy of the headline model on the number of cells that the pipeline found in the image. (a) Accuracy by number of cells per image (n above each bar is the number of images). (b) "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21.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324100"/>
            <wp:effectExtent t="0" r="0" b="0" l="0"/>
            <wp:docPr id="1" name="fig22" descr="**[SAMPLE IMAGE - tag FT-CURVES - replace with the real plot: python scripts/make_ft_figures.py]** Training curves of the low-rank adaptation of DinoBloom-S (run g01). For each fold: training loss, va"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3241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22. </w:t>
      </w:r>
      <w:r>
        <w:rPr>
          <w:rFonts w:ascii="Times New Roman" w:cs="Times New Roman" w:eastAsia="Times New Roman" w:hAnsi="Times New Roman"/>
          <w:b/>
          <w:bCs/>
          <w:sz w:val="22"/>
          <w:szCs w:val="22"/>
        </w:rPr>
        <w:t xml:space="preserve">[SAMPLE IMAGE - tag FT-CURVES - replace with the real plot: python scripts/make_ft_figures.py]</w:t>
      </w:r>
      <w:r>
        <w:rPr>
          <w:rFonts w:ascii="Times New Roman" w:cs="Times New Roman" w:eastAsia="Times New Roman" w:hAnsi="Times New Roman"/>
          <w:sz w:val="22"/>
          <w:szCs w:val="22"/>
        </w:rPr>
        <w:t xml:space="preserve"> 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4191000"/>
            <wp:effectExtent t="0" r="0" b="0" l="0"/>
            <wp:docPr id="1" name="fig23" descr="**[SAMPLE IMAGE - tag FT-BARS - replace with the real plot: python scripts/make_ft_figures.py]** Balanced accuracy of the fine-tuned configurations. One marker per configuration of Table 13 with its 9"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41910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23. </w:t>
      </w:r>
      <w:r>
        <w:rPr>
          <w:rFonts w:ascii="Times New Roman" w:cs="Times New Roman" w:eastAsia="Times New Roman" w:hAnsi="Times New Roman"/>
          <w:b/>
          <w:bCs/>
          <w:sz w:val="22"/>
          <w:szCs w:val="22"/>
        </w:rPr>
        <w:t xml:space="preserve">[SAMPLE IMAGE - tag FT-BARS - replace with the real plot: python scripts/make_ft_figures.py]</w:t>
      </w:r>
      <w:r>
        <w:rPr>
          <w:rFonts w:ascii="Times New Roman" w:cs="Times New Roman" w:eastAsia="Times New Roman" w:hAnsi="Times New Roman"/>
          <w:sz w:val="22"/>
          <w:szCs w:val="22"/>
        </w:rPr>
        <w:t xml:space="preserve"> Balanced accuracy of the fine-tuned configurations. One marker per configuration of Table 13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2714625"/>
            <wp:effectExtent t="0" r="0" b="0" l="0"/>
            <wp:docPr id="1" name="fig24" descr="**[SAMPLE IMAGE - tag FT-CM - replace with the real plot: python scripts/make_ft_figures.py]** Confusion matrix of the best fine-tuned configuration. Pooled out-of-fold confusion matrix, as in Fig. 16"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27146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24. </w:t>
      </w:r>
      <w:r>
        <w:rPr>
          <w:rFonts w:ascii="Times New Roman" w:cs="Times New Roman" w:eastAsia="Times New Roman" w:hAnsi="Times New Roman"/>
          <w:b/>
          <w:bCs/>
          <w:sz w:val="22"/>
          <w:szCs w:val="22"/>
        </w:rPr>
        <w:t xml:space="preserve">[SAMPLE IMAGE - tag FT-CM - replace with the real plot: python scripts/make_ft_figures.py]</w:t>
      </w:r>
      <w:r>
        <w:rPr>
          <w:rFonts w:ascii="Times New Roman" w:cs="Times New Roman" w:eastAsia="Times New Roman" w:hAnsi="Times New Roman"/>
          <w:sz w:val="22"/>
          <w:szCs w:val="22"/>
        </w:rPr>
        <w:t xml:space="preserve"> Confusion matrix of the best fine-tuned configuration. Pooled out-of-fold confusion matrix, as in Fig. 16a.</w:t>
      </w:r>
    </w:p>
    <w:p>
      <w:r>
        <w:br w:type="page"/>
      </w:r>
    </w:p>
    <w:p>
      <w:pPr>
        <w:pageBreakBefore/>
        <w:spacing w:after="160" w:line="240" w:lineRule="auto"/>
        <w:jc w:val="center"/>
      </w:pPr>
      <w:r>
        <w:drawing>
          <wp:inline distT="0" distB="0" distL="0" distR="0">
            <wp:extent cx="3343275" cy="6581775"/>
            <wp:effectExtent t="0" r="0" b="0" l="0"/>
            <wp:docPr id="1" name="fig25" descr="Attention of the headline model for one correctly classified test image of each class (fold 1). Left: the most-attended cell of the image. Right: attention weight of each cell of the image, sorted in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25.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26" descr="Two-dimensional t-distributed stochastic neighbour embedding projection of the image embeddings of the frozen headline encoder (mean over the cells of an image, after reduction to 50 principal compone"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26. </w:t>
      </w:r>
      <w:r>
        <w:rPr>
          <w:rFonts w:ascii="Times New Roman" w:cs="Times New Roman" w:eastAsia="Times New Roman" w:hAnsi="Times New Roman"/>
          <w:sz w:val="22"/>
          <w:szCs w:val="22"/>
        </w:rPr>
        <w:t xml:space="preserve">Two-dimensional t-distributed stochastic neighbour embedding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7).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background cue, but the colour of the cells (balanced accuracy {f3(cellcol)}) and the density of cells ({f3(aud('density'))}) remained informative about the class (Table 5), as it would be if the stain differed between sessions and also if the diseases differ in cytoplasmic staining. The accuracy reported here should therefore be read as an optimistic, unvalidated estimate for new patients and laboratories; no external data were tested.</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comparison of inputs (Table 7) shows that the shortcut-neutralised input gave lower accuracy than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central processor; fine-tuning of the encoder and a comparison of encoders on a graphics processor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optimistic estimate that has not been validated outside the dataset,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about 166,000 trainable parameters; training loss and validation scores plateaued within a few epochs (Appendix VII), and the per-fold balanced accuracy had a standard deviation of 0.019 (range 0.943-0.989). Second, the high accuracy extends to the hand-made features only partially (0.825), which is consistent with the encoder containing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Several studies on public leukemia datasets report evaluation on random image-level splits (I did not audit the literature systematically). The protocol of the present study differs,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may fail on images from a laboratory with different staining or imaging; this was not tested here.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Response to the review of the earlier version</w:t>
      </w:r>
    </w:p>
    <w:p>
      <w:pPr>
        <w:spacing w:line="480" w:lineRule="auto"/>
        <w:ind w:firstLine="720"/>
        <w:jc w:val="left"/>
      </w:pPr>
      <w:r>
        <w:rPr>
          <w:rFonts w:ascii="Times New Roman" w:cs="Times New Roman" w:eastAsia="Times New Roman" w:hAnsi="Times New Roman"/>
        </w:rPr>
        <w:t xml:space="preserve">The review of the earlier version observed that the shared code classified images with deep learning only. In this version every named stage runs on all 3256 images and is shown on real images (Figs. 4 to 12). Their measured value is modest and uneven: the hand-made features of the stages together reached 0.875, well below the frozen encoder (0.959), and the pure-mode selection rule kept almost every mode, so it does little. I report this as it is: the stages are implemented, verified and informative, but the foundation-model features carry most of the classification performance. The stages are most useful as interpretable descriptors and as a way to inspect what the images contain.</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Fine-tuning</w:t>
      </w:r>
    </w:p>
    <w:p>
      <w:pPr>
        <w:spacing w:line="480" w:lineRule="auto"/>
        <w:ind w:firstLine="720"/>
        <w:jc w:val="left"/>
      </w:pPr>
      <w:r>
        <w:rPr>
          <w:rFonts w:ascii="Times New Roman" w:cs="Times New Roman" w:eastAsia="Times New Roman" w:hAnsi="Times New Roman"/>
        </w:rPr>
        <w:t xml:space="preserve">Fine-tuning changes the question of the study because it lets the model adapt to the dataset. Two outcomes are possible and they would be informative in different ways. If adaptation of the encoder improves the accuracy under the session-aware protocol, the frozen features were limiting and the dataset contains additional morphological information. If it improves the accuracy mainly when the background is visible (g08) and not when it is neutralised (g01), the gain would be attributable to the shortcut. The experiments were designed so that these two readings can be told apart.</w:t>
      </w:r>
    </w:p>
    <w:p>
      <w:pPr>
        <w:spacing w:line="480" w:lineRule="auto"/>
        <w:ind w:firstLine="720"/>
        <w:jc w:val="left"/>
      </w:pPr>
      <w:r>
        <w:rPr>
          <w:rFonts w:ascii="Times New Roman" w:cs="Times New Roman" w:eastAsia="Times New Roman" w:hAnsi="Times New Roman"/>
          <w:b/>
          <w:bCs/>
        </w:rPr>
        <w:t xml:space="preserve">[[GPU: after the runs finish, replace this section by a discussion of which of the two readings the results support; cite Table 13 and Fig. 23. Delete this paragraph if no run is performed.]]</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optimistic, unvalidated estimate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9650-9660.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Cham: Springer.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the pooled numbers in the main text are computed from the same predictions pooled over the folds.</w:t>
      </w:r>
    </w:p>
    <w:p>
      <w:pPr>
        <w:keepNext/>
        <w:spacing w:after="120" w:before="24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the receiver operating characteristic curve</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keepNext/>
        <w:spacing w:after="120" w:before="24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keepNext/>
        <w:spacing w:after="120" w:before="24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keepNext/>
        <w:spacing w:after="120" w:before="24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7 was first computed with random-block folds. These results are kept because they show the size of the inflation; they are not used as evidence of performance.</w:t>
      </w:r>
    </w:p>
    <w:p>
      <w:pPr>
        <w:keepNext/>
        <w:spacing w:after="120" w:before="24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the receiver operating characteristic curve</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keepNext/>
        <w:spacing w:after="120" w:before="24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central processor.</w:t>
      </w:r>
    </w:p>
    <w:p>
      <w:pPr>
        <w:spacing w:line="480" w:lineRule="auto"/>
        <w:ind w:firstLine="0"/>
        <w:jc w:val="left"/>
      </w:pPr>
      <w:r>
        <w:rPr>
          <w:rFonts w:ascii="Times New Roman" w:cs="Times New Roman" w:eastAsia="Times New Roman" w:hAnsi="Times New Roman"/>
        </w:rPr>
        <w:t xml:space="preserve">Eight graphics-processor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central processor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data/dataset/Original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 --out runs/ablation_sources   # results copied to docs/results</w:t>
      </w:r>
    </w:p>
    <w:p>
      <w:pPr>
        <w:spacing w:line="240" w:lineRule="auto"/>
        <w:ind w:left="360"/>
      </w:pPr>
      <w:r>
        <w:rPr>
          <w:rFonts w:ascii="Courier New" w:cs="Courier New" w:eastAsia="Courier New" w:hAnsi="Courier New"/>
          <w:sz w:val="18"/>
          <w:szCs w:val="18"/>
        </w:rPr>
        <w:t xml:space="preserve">leukemia-pp run --input data/dataset/Original --output data/full_run_all --config configs/full_all_representations.json   # HDS + BEEMD on</w:t>
      </w:r>
    </w:p>
    <w:p>
      <w:pPr>
        <w:spacing w:line="240" w:lineRule="auto"/>
        <w:ind w:left="360"/>
      </w:pPr>
      <w:r>
        <w:rPr>
          <w:rFonts w:ascii="Courier New" w:cs="Courier New" w:eastAsia="Courier New" w:hAnsi="Courier New"/>
          <w:sz w:val="18"/>
          <w:szCs w:val="18"/>
        </w:rPr>
        <w:t xml:space="preserve">python scripts/analysis_stage_ablation.py; python scripts/make_stage_figures.py</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keepNext/>
        <w:spacing w:after="120" w:before="24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keepNext/>
        <w:spacing w:after="120" w:before="24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keepNext/>
        <w:spacing w:after="120" w:before="24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keepNext/>
        <w:spacing w:after="120" w:before="24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keepNext/>
        <w:spacing w:after="120" w:before="24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keepNext/>
        <w:spacing w:after="120" w:before="24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keepNext/>
        <w:spacing w:after="120" w:before="24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keepNext/>
        <w:spacing w:after="120" w:before="24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 (variant used for the probe analyses; the headline model additionally holds out a validation stretch, see Methods).</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keepNext/>
        <w:spacing w:after="120" w:before="24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central processor).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keepNext/>
        <w:spacing w:after="120" w:before="24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6).</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7).</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8, 9, 10).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ced5ea05eec8d5aef11bf488c0bb8fa8d08c8262.png"/><Relationship Id="rId12" Type="http://schemas.openxmlformats.org/officeDocument/2006/relationships/image" Target="media/0fcd3cf6005b81d7036b0457f657fa67a47f0942.png"/><Relationship Id="rId13" Type="http://schemas.openxmlformats.org/officeDocument/2006/relationships/image" Target="media/9476072cb6650b15b4f5dca259a9551df9ccc82c.png"/><Relationship Id="rId14" Type="http://schemas.openxmlformats.org/officeDocument/2006/relationships/image" Target="media/45793f5a9d55295bd0729e0f7100a2aa4fe25572.png"/><Relationship Id="rId15" Type="http://schemas.openxmlformats.org/officeDocument/2006/relationships/image" Target="media/1cd563aaaa301a8b7631aaa56300ca591bc07b0a.png"/><Relationship Id="rId16" Type="http://schemas.openxmlformats.org/officeDocument/2006/relationships/image" Target="media/d70a49a4f092103d88fcf52bdba4aadd1c4e27b1.png"/><Relationship Id="rId17" Type="http://schemas.openxmlformats.org/officeDocument/2006/relationships/image" Target="media/e2c4fa9cab1383d7beaaba73953ba5cd047cc742.png"/><Relationship Id="rId18" Type="http://schemas.openxmlformats.org/officeDocument/2006/relationships/image" Target="media/13c9fb2cce2d1046e1e11a7229a8f96502837e26.png"/><Relationship Id="rId19" Type="http://schemas.openxmlformats.org/officeDocument/2006/relationships/image" Target="media/f447c51f28e6de62901e8660c7cef7373979cf73.png"/><Relationship Id="rId20" Type="http://schemas.openxmlformats.org/officeDocument/2006/relationships/image" Target="media/9ad8151d8615cbc5846e7d6337cad153b122b7c7.png"/><Relationship Id="rId21" Type="http://schemas.openxmlformats.org/officeDocument/2006/relationships/image" Target="media/4f4ff019e411eb0ae81ad243e37049d8d1816e58.png"/><Relationship Id="rId22" Type="http://schemas.openxmlformats.org/officeDocument/2006/relationships/image" Target="media/a4e2d2156fe704ee19eb2ae10a19d75a98435730.png"/><Relationship Id="rId23" Type="http://schemas.openxmlformats.org/officeDocument/2006/relationships/image" Target="media/3b4ad935bc3cb50314790ca8ae6aa1223d6b4a8f.png"/><Relationship Id="rId24" Type="http://schemas.openxmlformats.org/officeDocument/2006/relationships/image" Target="media/49db3754709662de87c581688340fa7d8f6c3752.png"/><Relationship Id="rId25" Type="http://schemas.openxmlformats.org/officeDocument/2006/relationships/image" Target="media/ad213268fc7f90906db286adfd756ad74bfe231b.png"/><Relationship Id="rId26" Type="http://schemas.openxmlformats.org/officeDocument/2006/relationships/image" Target="media/3b04e2798ddb1608b40a75aa394cde5713d02e3b.png"/><Relationship Id="rId27" Type="http://schemas.openxmlformats.org/officeDocument/2006/relationships/image" Target="media/6bca1a85a9966f354a1e183d4143c0ac6207cfd7.png"/><Relationship Id="rId28" Type="http://schemas.openxmlformats.org/officeDocument/2006/relationships/image" Target="media/2c4e9dcfe5bc65e845d279ad6c3f54695b365da2.png"/><Relationship Id="rId29" Type="http://schemas.openxmlformats.org/officeDocument/2006/relationships/image" Target="media/a6430f143035c626a0abc95955c9fcbf46c2bd0d.png"/><Relationship Id="rId30" Type="http://schemas.openxmlformats.org/officeDocument/2006/relationships/image" Target="media/1f95cd39fb8e69a8a80fcb0b689d4fc49f11814c.png"/><Relationship Id="rId31" Type="http://schemas.openxmlformats.org/officeDocument/2006/relationships/image" Target="media/b4aa14a1de724c3e4f6c66c1c946998c2ae48fd9.png"/><Relationship Id="rId32" Type="http://schemas.openxmlformats.org/officeDocument/2006/relationships/image" Target="media/fc2f5f1886fbdfb11ae1efeee4f17472c4741cdc.png"/><Relationship Id="rId33" Type="http://schemas.openxmlformats.org/officeDocument/2006/relationships/image" Target="media/fffb6b6e3f88cea609693b8ed57b85d2eb76126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2026-10-04T19:44:54.892Z</dcterms:created>
  <dcterms:modified xsi:type="dcterms:W3CDTF">2026-10-04T19:44:54.892Z</dcterms:modified>
</cp:coreProperties>
</file>

<file path=docProps/custom.xml><?xml version="1.0" encoding="utf-8"?>
<Properties xmlns="http://schemas.openxmlformats.org/officeDocument/2006/custom-properties" xmlns:vt="http://schemas.openxmlformats.org/officeDocument/2006/docPropsVTypes"/>
</file>