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(ALL)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CI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75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76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77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77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78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78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Expected effect of fine-tuning</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81</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88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89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94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95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98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101</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104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118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122</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36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37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38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39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Contribution of the processing stages to classification.</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Per-cell features by class: median and interquartile range.</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Fine-tuning and encoder comparison under the same five contiguous session-aware folds.</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86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86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86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86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88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89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95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98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98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122</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HDS edge indicator.</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BEEMD and pure-IMF selection for the luminance of WBC-Malignant-Early-025.</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t-SNE projection of the image embeddings of the frozen headline encoder.</w:t>
      </w:r>
      <w:r>
        <w:rPr>
          <w:rFonts w:ascii="Times New Roman" w:cs="Times New Roman" w:eastAsia="Times New Roman" w:hAnsi="Times New Roman"/>
          <w:sz w:val="21"/>
          <w:szCs w:val="21"/>
        </w:rPr>
        <w:t xml:space="preserve">	74</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(ALL) is the most common cancer of childhood and is characterised by the uncontrolled proliferation of immature lymphoid cells in the bone marrow and blood. Examination of a stained peripheral blood smear (PBS) is an inexpensive first step in diagnosis, but it depends on the availability of trained hematologists, and agreement between observers on the morphology of individual blasts is imperfect. Automated analysis of PBS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RGB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(HDS)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(LoG) response with scale normalisation, a Canny edge map, and an adaptive principal-curvature response (APC),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CPU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HDS edge detection, adaptive principal-curvature (APC) structure detection, BEEMD decomposition, selection of pure intrinsic mode functions (IMFs) and morphological feature extraction - together with the stages that prepare the images for them and for the classifier. Each stage is implemented and covered by automated tests. A separate pass of the pipeline with HDS and BEEMD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HDS and BEEMD outputs enter the classification only through hand-made features, which are evaluated in a separate tabular analysis (Results, Contribution of the processing stages); they are not channels of the foundation-model input. Second, the description of the APC stage as blood-vessel segmentation in the project title does not apply literally to peripheral blood smears, which contain no vessels; the APC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6.0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(HDS) is shown next to it. Both remove fine noise and keep the cell outlines; the difference image shows that the diffusion changes mostly the interior of cells and the boundaries, in places where the unfiltered image has fine texture. The bilateral filter takes 6.3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HDS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APC layer is the weighted sum of the absolute values of the two Hessian eigenvalues, normalised by the square of the scale; it is large for curved structures such as cell outlines and thin folds. The LoG layer responds to blobs of the chosen scale, and the Canny layer is a binary edge map with an Otsu-derived threshold. In the example, the APC and LoG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BEEMD and pure-IMF selection</w:t>
      </w:r>
      <w:r>
        <w:rPr>
          <w:rFonts w:ascii="Times New Roman" w:cs="Times New Roman" w:eastAsia="Times New Roman" w:hAnsi="Times New Roman"/>
        </w:rPr>
        <w:t xml:space="preserve"> (Fig. 8). The decomposition separates the luminance into 4 modes with characteristic periods of 3.8, 7.5, 11.7, 19.9 px, from fine to coarse, and a smooth residue; the reconstruction error was 1.2e-07 (rounding). The decomposition takes 0.74 s per image on a CPU, which makes it the most expensive stage by an order of magnitude. The selection rule keeps a mode if its characteristic period lies between 3 and 48 px, which rejects pixel noise and illumination drift, and if it carries at least 1% of the detail energy. This rule is my own interpretable choice, because the project description did not define the criterion precisely. In the example, all 4 of 4 modes were kept, so the pure-IMF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HDS and BEEMD)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GPU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AUROC is the macro average of one-vs-rest areas under the receiver operating characteristic computed from the rank statistic. The expected calibration error (ECE)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CPU.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CPU, and the GPU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CPU.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CI 0.955-0.978) and the macro-F1 was 0.967 (95% CI 0.950-0.978). The AUROC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CPU.</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CI 0.944-0.973). Removing stain colour (B, grayscale) lowered it by 0.018 (95% CI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HDS and BEEMD were enabled (Table 11). Each variant sees only the named features and no pixels. Shape features alone gave a balanced accuracy of 0.528, texture features 0.662, and both together 0.719. The layer statistics alone gave 0.571 (APC), 0.507 (LoG), 0.551 (HDS edge indicator), 0.515 (pure-IMF layer) and 0.446 (IMF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CI +0.081 to +0.127, Holm p = 0.003); adding the HDS edge indicator then gave 0.850 (+0.133 relative to shape and texture, Holm p = 0.003), and adding the BEEMD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pure-IMF rule kept the first to fourth mode in 100.0%, 100.0%, 100.0%, 100.0% of the 3256 images, respectively; in 100.0% of the images all modes were kept and in 0.0% none. A selection rule that keeps nearly every mode adds little to the decomposition itself; the information gained from the BEEMD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12 summarises the per-cell measurements for the 26202 cells that do not touch the border. Cell size differed between classes: the median area was 360 px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ROC curve of the pooled out-of-fold probabilities was 0.996 for Benign, 0.995 for Early, 0.988 for Pre and 0.999 for Pro (Fig. 19a). The area under the precision-recall curve was 0.986, 0.984, 0.986 and 0.993 (Fig. 19b). The Pre class had the lowest area under the ROC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13 is reserved for the results of these runs.</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Figures 22, 23 and 24 are reserved for the training curves of the adapted model, the comparison of the configurations with their intervals and the confusion matrix of the best configuration; they are currently sample images and show no results.</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SD)</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(px)</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RGB to normalised RGB</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RGB to denoised RGB</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HDS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APC</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LoG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BEEMD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EMD,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IMFs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Pure-IMF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GLCM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"Legacy HDS" is the diffusion scheme of the original repository; "stabilised HDS"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SD</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Legacy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legacy HDS -17.2 dB, stabilised HDS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HDS edge value comes from a separate pass with HDS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(px)</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(px)</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GLCM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APC</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HDS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SD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SD</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ECE: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CI)</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CI)</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DS diffusion (30 iteratio"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HDS diffusion (30 iterations), and the absolute difference between input and HDS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57525"/>
            <wp:effectExtent t="0" r="0" b="0" l="0"/>
            <wp:docPr id="1" name="fig6" descr="Stage 3, HDS edge indicator. Top: luminance of one image per class. Bottom: the edge indicator 1 - mean diffusivity of the denoised image (0 in flat regions, close to 1 across strong edges), on a fix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HDS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APC) response, Laplacian-of-Gaussian (LoG)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(APC) response, Laplacian-of-Gaussian (LoG)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BEEMD and pure-IMF selection for the luminance of WBC-Malignant-Early-025. The four intrinsic mode functions (IMFs) are ordered from fine to coarse; the title of each gives the charact"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BEEMD and pure-IMF selection for the luminance of WBC-Malignant-Early-025. The four intrinsic mode functions (IMFs)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CE uses 15 bi"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ECE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3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13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SNE projection of the image embeddings of the frozen headline encoder (mean over the cells of an image, after reduction to 50 principal components), (a) coloured by class and (b) col"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t-SNE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CPU; fine-tuning of the encoder and a comparison of encoders on a GPU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pure-IMF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Expected effect of 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13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CPU.</w:t>
      </w:r>
    </w:p>
    <w:p>
      <w:pPr>
        <w:spacing w:line="480" w:lineRule="auto"/>
        <w:ind w:firstLine="0"/>
        <w:jc w:val="left"/>
      </w:pPr>
      <w:r>
        <w:rPr>
          <w:rFonts w:ascii="Times New Roman" w:cs="Times New Roman" w:eastAsia="Times New Roman" w:hAnsi="Times New Roman"/>
        </w:rPr>
        <w:t xml:space="preserve">Eight GPU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CPU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CPU).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2c220ec0e9340c9d1447900b84e40b7365a19222.png"/><Relationship Id="rId13" Type="http://schemas.openxmlformats.org/officeDocument/2006/relationships/image" Target="media/4d768426ca22c77a144fde05104ab9c4250b1798.png"/><Relationship Id="rId14" Type="http://schemas.openxmlformats.org/officeDocument/2006/relationships/image" Target="media/3e9a160871009f26b423ac685d3b03f918ee20e8.png"/><Relationship Id="rId15" Type="http://schemas.openxmlformats.org/officeDocument/2006/relationships/image" Target="media/029fa6b30677efda6f281b65e4168c4ebc2c3bf0.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2026-10-04T19:36:33.048Z</dcterms:created>
  <dcterms:modified xsi:type="dcterms:W3CDTF">2026-10-04T19:36:33.048Z</dcterms:modified>
</cp:coreProperties>
</file>

<file path=docProps/custom.xml><?xml version="1.0" encoding="utf-8"?>
<Properties xmlns="http://schemas.openxmlformats.org/officeDocument/2006/custom-properties" xmlns:vt="http://schemas.openxmlformats.org/officeDocument/2006/docPropsVTypes"/>
</file>