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confidence interval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r>
        <w:br w:type="page"/>
      </w:r>
    </w:p>
    <w:p>
      <w:pPr>
        <w:keepNext/>
        <w:spacing w:after="160" w:before="0" w:line="240" w:lineRule="auto"/>
        <w:jc w:val="center"/>
      </w:pPr>
      <w:r>
        <w:rPr>
          <w:rFonts w:ascii="Times New Roman" w:cs="Times New Roman" w:eastAsia="Times New Roman" w:hAnsi="Times New Roman"/>
          <w:b/>
          <w:bCs/>
        </w:rPr>
        <w:t xml:space="preserve">CONTENTS</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Introduction</w:t>
      </w:r>
      <w:r>
        <w:rPr>
          <w:rFonts w:ascii="Times New Roman" w:cs="Times New Roman" w:eastAsia="Times New Roman" w:hAnsi="Times New Roman"/>
          <w:sz w:val="22"/>
          <w:szCs w:val="22"/>
        </w:rPr>
        <w:t xml:space="preserve">	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Clinical background</w:t>
      </w:r>
      <w:r>
        <w:rPr>
          <w:rFonts w:ascii="Times New Roman" w:cs="Times New Roman" w:eastAsia="Times New Roman" w:hAnsi="Times New Roman"/>
          <w:sz w:val="22"/>
          <w:szCs w:val="22"/>
        </w:rPr>
        <w:t xml:space="preserve">	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dataset and its four classes</w:t>
      </w:r>
      <w:r>
        <w:rPr>
          <w:rFonts w:ascii="Times New Roman" w:cs="Times New Roman" w:eastAsia="Times New Roman" w:hAnsi="Times New Roman"/>
          <w:sz w:val="22"/>
          <w:szCs w:val="22"/>
        </w:rPr>
        <w:t xml:space="preserve">	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Computer-aided analysis of blood smears</w:t>
      </w:r>
      <w:r>
        <w:rPr>
          <w:rFonts w:ascii="Times New Roman" w:cs="Times New Roman" w:eastAsia="Times New Roman" w:hAnsi="Times New Roman"/>
          <w:sz w:val="22"/>
          <w:szCs w:val="22"/>
        </w:rPr>
        <w:t xml:space="preserve">	10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Stain variation and normalisation</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Validity of evaluation in medical machine learning</w:t>
      </w:r>
      <w:r>
        <w:rPr>
          <w:rFonts w:ascii="Times New Roman" w:cs="Times New Roman" w:eastAsia="Times New Roman" w:hAnsi="Times New Roman"/>
          <w:sz w:val="22"/>
          <w:szCs w:val="22"/>
        </w:rPr>
        <w:t xml:space="preserve">	11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Contributions</w:t>
      </w:r>
      <w:r>
        <w:rPr>
          <w:rFonts w:ascii="Times New Roman" w:cs="Times New Roman" w:eastAsia="Times New Roman" w:hAnsi="Times New Roman"/>
          <w:sz w:val="22"/>
          <w:szCs w:val="22"/>
        </w:rPr>
        <w:t xml:space="preserve">	12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Objectives</w:t>
      </w:r>
      <w:r>
        <w:rPr>
          <w:rFonts w:ascii="Times New Roman" w:cs="Times New Roman" w:eastAsia="Times New Roman" w:hAnsi="Times New Roman"/>
          <w:sz w:val="22"/>
          <w:szCs w:val="22"/>
        </w:rPr>
        <w:t xml:space="preserve">	13</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Materials and Methods</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w:t>
      </w:r>
      <w:r>
        <w:rPr>
          <w:rFonts w:ascii="Times New Roman" w:cs="Times New Roman" w:eastAsia="Times New Roman" w:hAnsi="Times New Roman"/>
          <w:sz w:val="22"/>
          <w:szCs w:val="22"/>
        </w:rPr>
        <w:t xml:space="preserve">	13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Preprocessing</w:t>
      </w:r>
      <w:r>
        <w:rPr>
          <w:rFonts w:ascii="Times New Roman" w:cs="Times New Roman" w:eastAsia="Times New Roman" w:hAnsi="Times New Roman"/>
          <w:sz w:val="22"/>
          <w:szCs w:val="22"/>
        </w:rPr>
        <w:t xml:space="preserve">	14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neutralisation and cell isolation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Shortcut audit</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Session groups and cross-validation</w:t>
      </w:r>
      <w:r>
        <w:rPr>
          <w:rFonts w:ascii="Times New Roman" w:cs="Times New Roman" w:eastAsia="Times New Roman" w:hAnsi="Times New Roman"/>
          <w:sz w:val="22"/>
          <w:szCs w:val="22"/>
        </w:rPr>
        <w:t xml:space="preserve">	16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Models</w:t>
      </w:r>
      <w:r>
        <w:rPr>
          <w:rFonts w:ascii="Times New Roman" w:cs="Times New Roman" w:eastAsia="Times New Roman" w:hAnsi="Times New Roman"/>
          <w:sz w:val="22"/>
          <w:szCs w:val="22"/>
        </w:rPr>
        <w:t xml:space="preserve">	17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Statistics and software</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Processing stages and their outputs</w:t>
      </w:r>
      <w:r>
        <w:rPr>
          <w:rFonts w:ascii="Times New Roman" w:cs="Times New Roman" w:eastAsia="Times New Roman" w:hAnsi="Times New Roman"/>
          <w:sz w:val="22"/>
          <w:szCs w:val="22"/>
        </w:rPr>
        <w:t xml:space="preserve">	18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Stage 11, classification</w:t>
      </w:r>
      <w:r>
        <w:rPr>
          <w:rFonts w:ascii="Times New Roman" w:cs="Times New Roman" w:eastAsia="Times New Roman" w:hAnsi="Times New Roman"/>
          <w:sz w:val="22"/>
          <w:szCs w:val="22"/>
        </w:rPr>
        <w:t xml:space="preserve">	21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Formal description of the preprocessing</w:t>
      </w:r>
      <w:r>
        <w:rPr>
          <w:rFonts w:ascii="Times New Roman" w:cs="Times New Roman" w:eastAsia="Times New Roman" w:hAnsi="Times New Roman"/>
          <w:sz w:val="22"/>
          <w:szCs w:val="22"/>
        </w:rPr>
        <w:t xml:space="preserve">	22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Bag construction and the attention head</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objective and optimisation</w:t>
      </w:r>
      <w:r>
        <w:rPr>
          <w:rFonts w:ascii="Times New Roman" w:cs="Times New Roman" w:eastAsia="Times New Roman" w:hAnsi="Times New Roman"/>
          <w:sz w:val="22"/>
          <w:szCs w:val="22"/>
        </w:rPr>
        <w:t xml:space="preserve">	24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Fold construction in detail</w:t>
      </w:r>
      <w:r>
        <w:rPr>
          <w:rFonts w:ascii="Times New Roman" w:cs="Times New Roman" w:eastAsia="Times New Roman" w:hAnsi="Times New Roman"/>
          <w:sz w:val="22"/>
          <w:szCs w:val="22"/>
        </w:rPr>
        <w:t xml:space="preserve">	25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Evaluation measures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Hyperparameters of the planned fine-tuning experiments</w:t>
      </w:r>
      <w:r>
        <w:rPr>
          <w:rFonts w:ascii="Times New Roman" w:cs="Times New Roman" w:eastAsia="Times New Roman" w:hAnsi="Times New Roman"/>
          <w:sz w:val="22"/>
          <w:szCs w:val="22"/>
        </w:rPr>
        <w:t xml:space="preserve">	26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Computational environment</w:t>
      </w:r>
      <w:r>
        <w:rPr>
          <w:rFonts w:ascii="Times New Roman" w:cs="Times New Roman" w:eastAsia="Times New Roman" w:hAnsi="Times New Roman"/>
          <w:sz w:val="22"/>
          <w:szCs w:val="22"/>
        </w:rPr>
        <w:t xml:space="preserve">	27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Dataset and preprocessing</w:t>
      </w:r>
      <w:r>
        <w:rPr>
          <w:rFonts w:ascii="Times New Roman" w:cs="Times New Roman" w:eastAsia="Times New Roman" w:hAnsi="Times New Roman"/>
          <w:sz w:val="22"/>
          <w:szCs w:val="22"/>
        </w:rPr>
        <w:t xml:space="preserve">	27</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The class can be predicted from the background</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Headline result with a frozen foundation model</w:t>
      </w:r>
      <w:r>
        <w:rPr>
          <w:rFonts w:ascii="Times New Roman" w:cs="Times New Roman" w:eastAsia="Times New Roman" w:hAnsi="Times New Roman"/>
          <w:sz w:val="22"/>
          <w:szCs w:val="22"/>
        </w:rPr>
        <w:t xml:space="preserve">	28</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model uses: representation ablation</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Random block folds gave higher accuracy, and removing neighbours hurt more than random removal</w:t>
      </w:r>
      <w:r>
        <w:rPr>
          <w:rFonts w:ascii="Times New Roman" w:cs="Times New Roman" w:eastAsia="Times New Roman" w:hAnsi="Times New Roman"/>
          <w:sz w:val="22"/>
          <w:szCs w:val="22"/>
        </w:rPr>
        <w:t xml:space="preserve">	29</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Contribution of the processing stages</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What the outputs of the processing stages tell us</w:t>
      </w:r>
      <w:r>
        <w:rPr>
          <w:rFonts w:ascii="Times New Roman" w:cs="Times New Roman" w:eastAsia="Times New Roman" w:hAnsi="Times New Roman"/>
          <w:sz w:val="22"/>
          <w:szCs w:val="22"/>
        </w:rPr>
        <w:t xml:space="preserve">	32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Cell features by class</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Training dynamics of the headline model</w:t>
      </w:r>
      <w:r>
        <w:rPr>
          <w:rFonts w:ascii="Times New Roman" w:cs="Times New Roman" w:eastAsia="Times New Roman" w:hAnsi="Times New Roman"/>
          <w:sz w:val="22"/>
          <w:szCs w:val="22"/>
        </w:rPr>
        <w:t xml:space="preserve">	34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Discrimination and precision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Calibration</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Where the model fails</w:t>
      </w:r>
      <w:r>
        <w:rPr>
          <w:rFonts w:ascii="Times New Roman" w:cs="Times New Roman" w:eastAsia="Times New Roman" w:hAnsi="Times New Roman"/>
          <w:sz w:val="22"/>
          <w:szCs w:val="22"/>
        </w:rPr>
        <w:t xml:space="preserve">	35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 and encoder comparison</w:t>
      </w:r>
      <w:r>
        <w:rPr>
          <w:rFonts w:ascii="Times New Roman" w:cs="Times New Roman" w:eastAsia="Times New Roman" w:hAnsi="Times New Roman"/>
          <w:sz w:val="22"/>
          <w:szCs w:val="22"/>
        </w:rPr>
        <w:t xml:space="preserve">	36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Attention, saliency and embedding structure</w:t>
      </w:r>
      <w:r>
        <w:rPr>
          <w:rFonts w:ascii="Times New Roman" w:cs="Times New Roman" w:eastAsia="Times New Roman" w:hAnsi="Times New Roman"/>
          <w:sz w:val="22"/>
          <w:szCs w:val="22"/>
        </w:rPr>
        <w:t xml:space="preserve">	37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Discussion</w:t>
      </w:r>
      <w:r>
        <w:rPr>
          <w:rFonts w:ascii="Times New Roman" w:cs="Times New Roman" w:eastAsia="Times New Roman" w:hAnsi="Times New Roman"/>
          <w:sz w:val="22"/>
          <w:szCs w:val="22"/>
        </w:rPr>
        <w:t xml:space="preserve">	80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Limitations</w:t>
      </w:r>
      <w:r>
        <w:rPr>
          <w:rFonts w:ascii="Times New Roman" w:cs="Times New Roman" w:eastAsia="Times New Roman" w:hAnsi="Times New Roman"/>
          <w:sz w:val="22"/>
          <w:szCs w:val="22"/>
        </w:rPr>
        <w:t xml:space="preserve">	81</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Implications and future work</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Interpretation of the headline result</w:t>
      </w:r>
      <w:r>
        <w:rPr>
          <w:rFonts w:ascii="Times New Roman" w:cs="Times New Roman" w:eastAsia="Times New Roman" w:hAnsi="Times New Roman"/>
          <w:sz w:val="22"/>
          <w:szCs w:val="22"/>
        </w:rPr>
        <w:t xml:space="preserve">	82</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Relation to other work</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Consequences for users of the dataset</w:t>
      </w:r>
      <w:r>
        <w:rPr>
          <w:rFonts w:ascii="Times New Roman" w:cs="Times New Roman" w:eastAsia="Times New Roman" w:hAnsi="Times New Roman"/>
          <w:sz w:val="22"/>
          <w:szCs w:val="22"/>
        </w:rPr>
        <w:t xml:space="preserve">	83</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Threats to validity</w:t>
      </w:r>
      <w:r>
        <w:rPr>
          <w:rFonts w:ascii="Times New Roman" w:cs="Times New Roman" w:eastAsia="Times New Roman" w:hAnsi="Times New Roman"/>
          <w:sz w:val="22"/>
          <w:szCs w:val="22"/>
        </w:rPr>
        <w:t xml:space="preserve">	84</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Response to the review of the earlier version</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Ethical and clinical considerations</w:t>
      </w:r>
      <w:r>
        <w:rPr>
          <w:rFonts w:ascii="Times New Roman" w:cs="Times New Roman" w:eastAsia="Times New Roman" w:hAnsi="Times New Roman"/>
          <w:sz w:val="22"/>
          <w:szCs w:val="22"/>
        </w:rPr>
        <w:t xml:space="preserve">	85</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Fine-tuning</w:t>
      </w:r>
      <w:r>
        <w:rPr>
          <w:rFonts w:ascii="Times New Roman" w:cs="Times New Roman" w:eastAsia="Times New Roman" w:hAnsi="Times New Roman"/>
          <w:sz w:val="22"/>
          <w:szCs w:val="22"/>
        </w:rPr>
        <w:t xml:space="preserve">	30</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Future work</w:t>
      </w:r>
      <w:r>
        <w:rPr>
          <w:rFonts w:ascii="Times New Roman" w:cs="Times New Roman" w:eastAsia="Times New Roman" w:hAnsi="Times New Roman"/>
          <w:sz w:val="22"/>
          <w:szCs w:val="22"/>
        </w:rPr>
        <w:t xml:space="preserve">	86</w:t>
      </w:r>
    </w:p>
    <w:p>
      <w:pPr>
        <w:tabs>
          <w:tab w:val="right" w:pos="9360" w:leader="dot"/>
        </w:tabs>
        <w:spacing w:after="60" w:line="240" w:lineRule="auto"/>
        <w:ind w:left="360" w:right="500" w:hanging="0"/>
      </w:pPr>
      <w:r>
        <w:rPr>
          <w:rFonts w:ascii="Times New Roman" w:cs="Times New Roman" w:eastAsia="Times New Roman" w:hAnsi="Times New Roman"/>
          <w:b w:val="false"/>
          <w:bCs w:val="false"/>
          <w:sz w:val="22"/>
          <w:szCs w:val="22"/>
        </w:rPr>
        <w:t xml:space="preserve">Conclusion</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Acknowledgments</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Literature Cited</w:t>
      </w:r>
      <w:r>
        <w:rPr>
          <w:rFonts w:ascii="Times New Roman" w:cs="Times New Roman" w:eastAsia="Times New Roman" w:hAnsi="Times New Roman"/>
          <w:sz w:val="22"/>
          <w:szCs w:val="22"/>
        </w:rPr>
        <w:t xml:space="preserve">	87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 Per-fold results of the headline model</w:t>
      </w:r>
      <w:r>
        <w:rPr>
          <w:rFonts w:ascii="Times New Roman" w:cs="Times New Roman" w:eastAsia="Times New Roman" w:hAnsi="Times New Roman"/>
          <w:sz w:val="22"/>
          <w:szCs w:val="22"/>
        </w:rPr>
        <w:t xml:space="preserve">	92</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 Superseded random-block ablation</w:t>
      </w:r>
      <w:r>
        <w:rPr>
          <w:rFonts w:ascii="Times New Roman" w:cs="Times New Roman" w:eastAsia="Times New Roman" w:hAnsi="Times New Roman"/>
          <w:sz w:val="22"/>
          <w:szCs w:val="22"/>
        </w:rPr>
        <w:t xml:space="preserve">	94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III. Definitions of the per-cell features</w:t>
      </w:r>
      <w:r>
        <w:rPr>
          <w:rFonts w:ascii="Times New Roman" w:cs="Times New Roman" w:eastAsia="Times New Roman" w:hAnsi="Times New Roman"/>
          <w:sz w:val="22"/>
          <w:szCs w:val="22"/>
        </w:rPr>
        <w:t xml:space="preserve">	95</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IV. Software and prepared experiments</w:t>
      </w:r>
      <w:r>
        <w:rPr>
          <w:rFonts w:ascii="Times New Roman" w:cs="Times New Roman" w:eastAsia="Times New Roman" w:hAnsi="Times New Roman"/>
          <w:sz w:val="22"/>
          <w:szCs w:val="22"/>
        </w:rPr>
        <w:t xml:space="preserve">	96</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 Reproducing the results</w:t>
      </w:r>
      <w:r>
        <w:rPr>
          <w:rFonts w:ascii="Times New Roman" w:cs="Times New Roman" w:eastAsia="Times New Roman" w:hAnsi="Times New Roman"/>
          <w:sz w:val="22"/>
          <w:szCs w:val="22"/>
        </w:rPr>
        <w:t xml:space="preserve">	100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 Images misclassified by the headline model</w:t>
      </w:r>
      <w:r>
        <w:rPr>
          <w:rFonts w:ascii="Times New Roman" w:cs="Times New Roman" w:eastAsia="Times New Roman" w:hAnsi="Times New Roman"/>
          <w:sz w:val="22"/>
          <w:szCs w:val="22"/>
        </w:rPr>
        <w:t xml:space="preserve">	101</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 Training logs of the five folds</w:t>
      </w:r>
      <w:r>
        <w:rPr>
          <w:rFonts w:ascii="Times New Roman" w:cs="Times New Roman" w:eastAsia="Times New Roman" w:hAnsi="Times New Roman"/>
          <w:sz w:val="22"/>
          <w:szCs w:val="22"/>
        </w:rPr>
        <w:t xml:space="preserve">	104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VIII. Configurations of the fine-tuning experiments</w:t>
      </w:r>
      <w:r>
        <w:rPr>
          <w:rFonts w:ascii="Times New Roman" w:cs="Times New Roman" w:eastAsia="Times New Roman" w:hAnsi="Times New Roman"/>
          <w:sz w:val="22"/>
          <w:szCs w:val="22"/>
        </w:rPr>
        <w:t xml:space="preserve">	107</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IX. Algorithms in pseudocode</w:t>
      </w:r>
      <w:r>
        <w:rPr>
          <w:rFonts w:ascii="Times New Roman" w:cs="Times New Roman" w:eastAsia="Times New Roman" w:hAnsi="Times New Roman"/>
          <w:sz w:val="22"/>
          <w:szCs w:val="22"/>
        </w:rPr>
        <w:t xml:space="preserve">	108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 Glossary of terms and abbreviations</w:t>
      </w:r>
      <w:r>
        <w:rPr>
          <w:rFonts w:ascii="Times New Roman" w:cs="Times New Roman" w:eastAsia="Times New Roman" w:hAnsi="Times New Roman"/>
          <w:sz w:val="22"/>
          <w:szCs w:val="22"/>
        </w:rPr>
        <w:t xml:space="preserve">	109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 Source listings of the core algorithms</w:t>
      </w:r>
      <w:r>
        <w:rPr>
          <w:rFonts w:ascii="Times New Roman" w:cs="Times New Roman" w:eastAsia="Times New Roman" w:hAnsi="Times New Roman"/>
          <w:sz w:val="22"/>
          <w:szCs w:val="22"/>
        </w:rPr>
        <w:t xml:space="preserve">	110</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 Test suite</w:t>
      </w:r>
      <w:r>
        <w:rPr>
          <w:rFonts w:ascii="Times New Roman" w:cs="Times New Roman" w:eastAsia="Times New Roman" w:hAnsi="Times New Roman"/>
          <w:sz w:val="22"/>
          <w:szCs w:val="22"/>
        </w:rPr>
        <w:t xml:space="preserve">	124</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XIII. Files released with the paper</w:t>
      </w:r>
      <w:r>
        <w:rPr>
          <w:rFonts w:ascii="Times New Roman" w:cs="Times New Roman" w:eastAsia="Times New Roman" w:hAnsi="Times New Roman"/>
          <w:sz w:val="22"/>
          <w:szCs w:val="22"/>
        </w:rPr>
        <w:t xml:space="preserve">	128</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XIV. Citation index</w:t>
      </w:r>
      <w:r>
        <w:rPr>
          <w:rFonts w:ascii="Times New Roman" w:cs="Times New Roman" w:eastAsia="Times New Roman" w:hAnsi="Times New Roman"/>
          <w:sz w:val="22"/>
          <w:szCs w:val="22"/>
        </w:rPr>
        <w:t xml:space="preserve">	129</w:t>
      </w:r>
    </w:p>
    <w:p>
      <w:pPr>
        <w:tabs>
          <w:tab w:val="right" w:pos="9360" w:leader="dot"/>
        </w:tabs>
        <w:spacing w:after="60" w:line="240" w:lineRule="auto"/>
        <w:ind w:left="0" w:right="500" w:hanging="0"/>
      </w:pPr>
      <w:r>
        <w:rPr>
          <w:rFonts w:ascii="Times New Roman" w:cs="Times New Roman" w:eastAsia="Times New Roman" w:hAnsi="Times New Roman"/>
          <w:b/>
          <w:bCs/>
          <w:sz w:val="22"/>
          <w:szCs w:val="22"/>
        </w:rPr>
        <w:t xml:space="preserve">Appendix XV. Reference verification record</w:t>
      </w:r>
      <w:r>
        <w:rPr>
          <w:rFonts w:ascii="Times New Roman" w:cs="Times New Roman" w:eastAsia="Times New Roman" w:hAnsi="Times New Roman"/>
          <w:sz w:val="22"/>
          <w:szCs w:val="22"/>
        </w:rPr>
        <w:t xml:space="preserve">	131</w:t>
      </w:r>
    </w:p>
    <w:p>
      <w:pPr>
        <w:keepNext/>
        <w:spacing w:after="160" w:before="360" w:line="240" w:lineRule="auto"/>
        <w:jc w:val="center"/>
      </w:pPr>
      <w:r>
        <w:rPr>
          <w:rFonts w:ascii="Times New Roman" w:cs="Times New Roman" w:eastAsia="Times New Roman" w:hAnsi="Times New Roman"/>
          <w:b/>
          <w:bCs/>
        </w:rPr>
        <w:t xml:space="preserve">LIST OF TABLES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 Composition of the dataset and output of the segmentation stage, by class.</w:t>
      </w:r>
      <w:r>
        <w:rPr>
          <w:rFonts w:ascii="Times New Roman" w:cs="Times New Roman" w:eastAsia="Times New Roman" w:hAnsi="Times New Roman"/>
          <w:sz w:val="21"/>
          <w:szCs w:val="21"/>
        </w:rPr>
        <w:t xml:space="preserve">	40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2. The processing stages, their implementation and their use in this study.</w:t>
      </w:r>
      <w:r>
        <w:rPr>
          <w:rFonts w:ascii="Times New Roman" w:cs="Times New Roman" w:eastAsia="Times New Roman" w:hAnsi="Times New Roman"/>
          <w:sz w:val="21"/>
          <w:szCs w:val="21"/>
        </w:rPr>
        <w:t xml:space="preserve">	41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3. Denoising benchmark on synthetic Gaussian noise.</w:t>
      </w:r>
      <w:r>
        <w:rPr>
          <w:rFonts w:ascii="Times New Roman" w:cs="Times New Roman" w:eastAsia="Times New Roman" w:hAnsi="Times New Roman"/>
          <w:sz w:val="21"/>
          <w:szCs w:val="21"/>
        </w:rPr>
        <w:t xml:space="preserve">	42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4. Stage 10: per-cell measurements of the cells of WBC-Malignant-Early-025.</w:t>
      </w:r>
      <w:r>
        <w:rPr>
          <w:rFonts w:ascii="Times New Roman" w:cs="Times New Roman" w:eastAsia="Times New Roman" w:hAnsi="Times New Roman"/>
          <w:sz w:val="21"/>
          <w:szCs w:val="21"/>
        </w:rPr>
        <w:t xml:space="preserve">	43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5. Shortcut audit: balanced accuracy of a random-forest classifier that sees only the named quantity,.</w:t>
      </w:r>
      <w:r>
        <w:rPr>
          <w:rFonts w:ascii="Times New Roman" w:cs="Times New Roman" w:eastAsia="Times New Roman" w:hAnsi="Times New Roman"/>
          <w:sz w:val="21"/>
          <w:szCs w:val="21"/>
        </w:rPr>
        <w:t xml:space="preserve">	44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6. Headline result: frozen DinoBloom-S with an attention-pooling head on isolated,.</w:t>
      </w:r>
      <w:r>
        <w:rPr>
          <w:rFonts w:ascii="Times New Roman" w:cs="Times New Roman" w:eastAsia="Times New Roman" w:hAnsi="Times New Roman"/>
          <w:sz w:val="21"/>
          <w:szCs w:val="21"/>
        </w:rPr>
        <w:t xml:space="preserve">	45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7. Effect of the image representation on four-class balanced accuracy with a frozen DinoBloom-S.</w:t>
      </w:r>
      <w:r>
        <w:rPr>
          <w:rFonts w:ascii="Times New Roman" w:cs="Times New Roman" w:eastAsia="Times New Roman" w:hAnsi="Times New Roman"/>
          <w:sz w:val="21"/>
          <w:szCs w:val="21"/>
        </w:rPr>
        <w:t xml:space="preserve">	46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8. The same classifier evaluated under different fold constructions.</w:t>
      </w:r>
      <w:r>
        <w:rPr>
          <w:rFonts w:ascii="Times New Roman" w:cs="Times New Roman" w:eastAsia="Times New Roman" w:hAnsi="Times New Roman"/>
          <w:sz w:val="21"/>
          <w:szCs w:val="21"/>
        </w:rPr>
        <w:t xml:space="preserve">	47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9. Training images close in capture number to the test images are removed from random-block folds.</w:t>
      </w:r>
      <w:r>
        <w:rPr>
          <w:rFonts w:ascii="Times New Roman" w:cs="Times New Roman" w:eastAsia="Times New Roman" w:hAnsi="Times New Roman"/>
          <w:sz w:val="21"/>
          <w:szCs w:val="21"/>
        </w:rPr>
        <w:t xml:space="preserve">	48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10. Contiguous folds with an increasing minimum gap between the training images and the test segment.</w:t>
      </w:r>
      <w:r>
        <w:rPr>
          <w:rFonts w:ascii="Times New Roman" w:cs="Times New Roman" w:eastAsia="Times New Roman" w:hAnsi="Times New Roman"/>
          <w:sz w:val="21"/>
          <w:szCs w:val="21"/>
        </w:rPr>
        <w:t xml:space="preserve">	49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11. Fine-tuning and encoder comparison under the same five contiguous session-aware folds.</w:t>
      </w:r>
      <w:r>
        <w:rPr>
          <w:rFonts w:ascii="Times New Roman" w:cs="Times New Roman" w:eastAsia="Times New Roman" w:hAnsi="Times New Roman"/>
          <w:sz w:val="21"/>
          <w:szCs w:val="21"/>
        </w:rPr>
        <w:t xml:space="preserve">	50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12. Contribution of the processing stages to classification.</w:t>
      </w:r>
      <w:r>
        <w:rPr>
          <w:rFonts w:ascii="Times New Roman" w:cs="Times New Roman" w:eastAsia="Times New Roman" w:hAnsi="Times New Roman"/>
          <w:sz w:val="21"/>
          <w:szCs w:val="21"/>
        </w:rPr>
        <w:t xml:space="preserve">	51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13. Values of the stage outputs inside the segmented cells, by class: median and interquartile range.</w:t>
      </w:r>
      <w:r>
        <w:rPr>
          <w:rFonts w:ascii="Times New Roman" w:cs="Times New Roman" w:eastAsia="Times New Roman" w:hAnsi="Times New Roman"/>
          <w:sz w:val="21"/>
          <w:szCs w:val="21"/>
        </w:rPr>
        <w:t xml:space="preserve">	52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14. Per-cell features by class: median and interquartile range.</w:t>
      </w:r>
      <w:r>
        <w:rPr>
          <w:rFonts w:ascii="Times New Roman" w:cs="Times New Roman" w:eastAsia="Times New Roman" w:hAnsi="Times New Roman"/>
          <w:sz w:val="21"/>
          <w:szCs w:val="21"/>
        </w:rPr>
        <w:t xml:space="preserve">	53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 Per-fold results of the headline model.</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A2. Per-class recall of each fold.</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A3. Pooled out-of-fold confusion matrix of the headline model.</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A4. Confusion matrices of the five folds.</w:t>
      </w:r>
      <w:r>
        <w:rPr>
          <w:rFonts w:ascii="Times New Roman" w:cs="Times New Roman" w:eastAsia="Times New Roman" w:hAnsi="Times New Roman"/>
          <w:sz w:val="21"/>
          <w:szCs w:val="21"/>
        </w:rPr>
        <w:t xml:space="preserve">	92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A5. Representation ablation with random 37-image blocks.</w:t>
      </w:r>
      <w:r>
        <w:rPr>
          <w:rFonts w:ascii="Times New Roman" w:cs="Times New Roman" w:eastAsia="Times New Roman" w:hAnsi="Times New Roman"/>
          <w:sz w:val="21"/>
          <w:szCs w:val="21"/>
        </w:rPr>
        <w:t xml:space="preserve">	94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A6. Per-cell features computed by the preprocessing package.</w:t>
      </w:r>
      <w:r>
        <w:rPr>
          <w:rFonts w:ascii="Times New Roman" w:cs="Times New Roman" w:eastAsia="Times New Roman" w:hAnsi="Times New Roman"/>
          <w:sz w:val="21"/>
          <w:szCs w:val="21"/>
        </w:rPr>
        <w:t xml:space="preserve">	95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A7. Misclassified images.</w:t>
      </w:r>
      <w:r>
        <w:rPr>
          <w:rFonts w:ascii="Times New Roman" w:cs="Times New Roman" w:eastAsia="Times New Roman" w:hAnsi="Times New Roman"/>
          <w:sz w:val="21"/>
          <w:szCs w:val="21"/>
        </w:rPr>
        <w:t xml:space="preserve">	101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A8. Epoch log of fold 1.</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A9. Epoch log of fold 2.</w:t>
      </w:r>
      <w:r>
        <w:rPr>
          <w:rFonts w:ascii="Times New Roman" w:cs="Times New Roman" w:eastAsia="Times New Roman" w:hAnsi="Times New Roman"/>
          <w:sz w:val="21"/>
          <w:szCs w:val="21"/>
        </w:rPr>
        <w:t xml:space="preserve">	104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A10. Epoch log of fold 3.</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A11. Epoch log of fold 4.</w:t>
      </w:r>
      <w:r>
        <w:rPr>
          <w:rFonts w:ascii="Times New Roman" w:cs="Times New Roman" w:eastAsia="Times New Roman" w:hAnsi="Times New Roman"/>
          <w:sz w:val="21"/>
          <w:szCs w:val="21"/>
        </w:rPr>
        <w:t xml:space="preserve">	105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A12. Epoch log of fold 5.</w:t>
      </w:r>
      <w:r>
        <w:rPr>
          <w:rFonts w:ascii="Times New Roman" w:cs="Times New Roman" w:eastAsia="Times New Roman" w:hAnsi="Times New Roman"/>
          <w:sz w:val="21"/>
          <w:szCs w:val="21"/>
        </w:rPr>
        <w:t xml:space="preserve">	106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A13. Settings that differ between the fine-tuning configurations.</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A14. Settings shared by all fine-tuning configurations.</w:t>
      </w:r>
      <w:r>
        <w:rPr>
          <w:rFonts w:ascii="Times New Roman" w:cs="Times New Roman" w:eastAsia="Times New Roman" w:hAnsi="Times New Roman"/>
          <w:sz w:val="21"/>
          <w:szCs w:val="21"/>
        </w:rPr>
        <w:t xml:space="preserve">	107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A15. Glossary.</w:t>
      </w:r>
      <w:r>
        <w:rPr>
          <w:rFonts w:ascii="Times New Roman" w:cs="Times New Roman" w:eastAsia="Times New Roman" w:hAnsi="Times New Roman"/>
          <w:sz w:val="21"/>
          <w:szCs w:val="21"/>
        </w:rPr>
        <w:t xml:space="preserve">	109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A16. Result files and the scripts that produce them.</w:t>
      </w:r>
      <w:r>
        <w:rPr>
          <w:rFonts w:ascii="Times New Roman" w:cs="Times New Roman" w:eastAsia="Times New Roman" w:hAnsi="Times New Roman"/>
          <w:sz w:val="21"/>
          <w:szCs w:val="21"/>
        </w:rPr>
        <w:t xml:space="preserve">	128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A17. Citation index: reference, use in this paper and pages on which it is cited.</w:t>
      </w:r>
      <w:r>
        <w:rPr>
          <w:rFonts w:ascii="Times New Roman" w:cs="Times New Roman" w:eastAsia="Times New Roman" w:hAnsi="Times New Roman"/>
          <w:sz w:val="21"/>
          <w:szCs w:val="21"/>
        </w:rPr>
        <w:t xml:space="preserve">	129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Table A18. Reference verification record.</w:t>
      </w:r>
      <w:r>
        <w:rPr>
          <w:rFonts w:ascii="Times New Roman" w:cs="Times New Roman" w:eastAsia="Times New Roman" w:hAnsi="Times New Roman"/>
          <w:sz w:val="21"/>
          <w:szCs w:val="21"/>
        </w:rPr>
        <w:t xml:space="preserve">	131</w:t>
      </w:r>
    </w:p>
    <w:p>
      <w:pPr>
        <w:keepNext/>
        <w:spacing w:after="160" w:before="360" w:line="240" w:lineRule="auto"/>
        <w:jc w:val="center"/>
      </w:pPr>
      <w:r>
        <w:rPr>
          <w:rFonts w:ascii="Times New Roman" w:cs="Times New Roman" w:eastAsia="Times New Roman" w:hAnsi="Times New Roman"/>
          <w:b/>
          <w:bCs/>
        </w:rPr>
        <w:t xml:space="preserve">LIST OF FIGURES</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 Processing pipeline.</w:t>
      </w:r>
      <w:r>
        <w:rPr>
          <w:rFonts w:ascii="Times New Roman" w:cs="Times New Roman" w:eastAsia="Times New Roman" w:hAnsi="Times New Roman"/>
          <w:sz w:val="21"/>
          <w:szCs w:val="21"/>
        </w:rPr>
        <w:t xml:space="preserve">	54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 Cell segmentation.</w:t>
      </w:r>
      <w:r>
        <w:rPr>
          <w:rFonts w:ascii="Times New Roman" w:cs="Times New Roman" w:eastAsia="Times New Roman" w:hAnsi="Times New Roman"/>
          <w:sz w:val="21"/>
          <w:szCs w:val="21"/>
        </w:rPr>
        <w:t xml:space="preserve">	55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3. Capture-order structure of the dataset.</w:t>
      </w:r>
      <w:r>
        <w:rPr>
          <w:rFonts w:ascii="Times New Roman" w:cs="Times New Roman" w:eastAsia="Times New Roman" w:hAnsi="Times New Roman"/>
          <w:sz w:val="21"/>
          <w:szCs w:val="21"/>
        </w:rPr>
        <w:t xml:space="preserve">	56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4. Stage 1, stain normalisation.</w:t>
      </w:r>
      <w:r>
        <w:rPr>
          <w:rFonts w:ascii="Times New Roman" w:cs="Times New Roman" w:eastAsia="Times New Roman" w:hAnsi="Times New Roman"/>
          <w:sz w:val="21"/>
          <w:szCs w:val="21"/>
        </w:rPr>
        <w:t xml:space="preserve">	57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5. Stage 2, denoising of the luminance of WBC-Malignant-Early-025.</w:t>
      </w:r>
      <w:r>
        <w:rPr>
          <w:rFonts w:ascii="Times New Roman" w:cs="Times New Roman" w:eastAsia="Times New Roman" w:hAnsi="Times New Roman"/>
          <w:sz w:val="21"/>
          <w:szCs w:val="21"/>
        </w:rPr>
        <w:t xml:space="preserve">	58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6. Stage 3, hybrid-diffusion edge indicator.</w:t>
      </w:r>
      <w:r>
        <w:rPr>
          <w:rFonts w:ascii="Times New Roman" w:cs="Times New Roman" w:eastAsia="Times New Roman" w:hAnsi="Times New Roman"/>
          <w:sz w:val="21"/>
          <w:szCs w:val="21"/>
        </w:rPr>
        <w:t xml:space="preserve">	59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7. Stages 4 and 5, response layers of WBC-Malignant-Early-025.</w:t>
      </w:r>
      <w:r>
        <w:rPr>
          <w:rFonts w:ascii="Times New Roman" w:cs="Times New Roman" w:eastAsia="Times New Roman" w:hAnsi="Times New Roman"/>
          <w:sz w:val="21"/>
          <w:szCs w:val="21"/>
        </w:rPr>
        <w:t xml:space="preserve">	60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8. Stages 6 and 7, ensemble mode decomposition and pure-mode selection for the luminance of WBC-Malignant-Early-025.</w:t>
      </w:r>
      <w:r>
        <w:rPr>
          <w:rFonts w:ascii="Times New Roman" w:cs="Times New Roman" w:eastAsia="Times New Roman" w:hAnsi="Times New Roman"/>
          <w:sz w:val="21"/>
          <w:szCs w:val="21"/>
        </w:rPr>
        <w:t xml:space="preserve">	61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9. Stage 8, cell and nucleus segmentation for one image per class.</w:t>
      </w:r>
      <w:r>
        <w:rPr>
          <w:rFonts w:ascii="Times New Roman" w:cs="Times New Roman" w:eastAsia="Times New Roman" w:hAnsi="Times New Roman"/>
          <w:sz w:val="21"/>
          <w:szCs w:val="21"/>
        </w:rPr>
        <w:t xml:space="preserve">	62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10. Stage 9, shortcut neutralisation.</w:t>
      </w:r>
      <w:r>
        <w:rPr>
          <w:rFonts w:ascii="Times New Roman" w:cs="Times New Roman" w:eastAsia="Times New Roman" w:hAnsi="Times New Roman"/>
          <w:sz w:val="21"/>
          <w:szCs w:val="21"/>
        </w:rPr>
        <w:t xml:space="preserve">	63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11. Stage 9, outputs for WBC-Malignant-Early-025: the neutralised image, its grey version, and the.</w:t>
      </w:r>
      <w:r>
        <w:rPr>
          <w:rFonts w:ascii="Times New Roman" w:cs="Times New Roman" w:eastAsia="Times New Roman" w:hAnsi="Times New Roman"/>
          <w:sz w:val="21"/>
          <w:szCs w:val="21"/>
        </w:rPr>
        <w:t xml:space="preserve">	64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12. Stage 10, cells of WBC-Malignant-Early-025 numbered as in Table 4.</w:t>
      </w:r>
      <w:r>
        <w:rPr>
          <w:rFonts w:ascii="Times New Roman" w:cs="Times New Roman" w:eastAsia="Times New Roman" w:hAnsi="Times New Roman"/>
          <w:sz w:val="21"/>
          <w:szCs w:val="21"/>
        </w:rPr>
        <w:t xml:space="preserve">	65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13. Training of the attention head.</w:t>
      </w:r>
      <w:r>
        <w:rPr>
          <w:rFonts w:ascii="Times New Roman" w:cs="Times New Roman" w:eastAsia="Times New Roman" w:hAnsi="Times New Roman"/>
          <w:sz w:val="21"/>
          <w:szCs w:val="21"/>
        </w:rPr>
        <w:t xml:space="preserve">	66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14. Example images of the four classes.</w:t>
      </w:r>
      <w:r>
        <w:rPr>
          <w:rFonts w:ascii="Times New Roman" w:cs="Times New Roman" w:eastAsia="Times New Roman" w:hAnsi="Times New Roman"/>
          <w:sz w:val="21"/>
          <w:szCs w:val="21"/>
        </w:rPr>
        <w:t xml:space="preserve">	67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15. Denoising benchmark.</w:t>
      </w:r>
      <w:r>
        <w:rPr>
          <w:rFonts w:ascii="Times New Roman" w:cs="Times New Roman" w:eastAsia="Times New Roman" w:hAnsi="Times New Roman"/>
          <w:sz w:val="21"/>
          <w:szCs w:val="21"/>
        </w:rPr>
        <w:t xml:space="preserve">	68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16. (a) Pooled out-of-fold confusion matrix.</w:t>
      </w:r>
      <w:r>
        <w:rPr>
          <w:rFonts w:ascii="Times New Roman" w:cs="Times New Roman" w:eastAsia="Times New Roman" w:hAnsi="Times New Roman"/>
          <w:sz w:val="21"/>
          <w:szCs w:val="21"/>
        </w:rPr>
        <w:t xml:space="preserve">	69</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17. Balanced accuracy of the five input representations.</w:t>
      </w:r>
      <w:r>
        <w:rPr>
          <w:rFonts w:ascii="Times New Roman" w:cs="Times New Roman" w:eastAsia="Times New Roman" w:hAnsi="Times New Roman"/>
          <w:sz w:val="21"/>
          <w:szCs w:val="21"/>
        </w:rPr>
        <w:t xml:space="preserve">	70</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18. Dependence of accuracy on proximity in capture number.</w:t>
      </w:r>
      <w:r>
        <w:rPr>
          <w:rFonts w:ascii="Times New Roman" w:cs="Times New Roman" w:eastAsia="Times New Roman" w:hAnsi="Times New Roman"/>
          <w:sz w:val="21"/>
          <w:szCs w:val="21"/>
        </w:rPr>
        <w:t xml:space="preserve">	71</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19. Discrimination of each class from the other three on the pooled out-of-fold predictions.</w:t>
      </w:r>
      <w:r>
        <w:rPr>
          <w:rFonts w:ascii="Times New Roman" w:cs="Times New Roman" w:eastAsia="Times New Roman" w:hAnsi="Times New Roman"/>
          <w:sz w:val="21"/>
          <w:szCs w:val="21"/>
        </w:rPr>
        <w:t xml:space="preserve">	72</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20. Calibration of the temperature-scaled probabilities on the pooled out-of-fold predictions.</w:t>
      </w:r>
      <w:r>
        <w:rPr>
          <w:rFonts w:ascii="Times New Roman" w:cs="Times New Roman" w:eastAsia="Times New Roman" w:hAnsi="Times New Roman"/>
          <w:sz w:val="21"/>
          <w:szCs w:val="21"/>
        </w:rPr>
        <w:t xml:space="preserve">	73</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21. Dependence of the accuracy of the headline model on the number of cells that the pipeline found in.</w:t>
      </w:r>
      <w:r>
        <w:rPr>
          <w:rFonts w:ascii="Times New Roman" w:cs="Times New Roman" w:eastAsia="Times New Roman" w:hAnsi="Times New Roman"/>
          <w:sz w:val="21"/>
          <w:szCs w:val="21"/>
        </w:rPr>
        <w:t xml:space="preserve">	74</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22. Training curves of the low-rank adaptation of DinoBloom-S.</w:t>
      </w:r>
      <w:r>
        <w:rPr>
          <w:rFonts w:ascii="Times New Roman" w:cs="Times New Roman" w:eastAsia="Times New Roman" w:hAnsi="Times New Roman"/>
          <w:sz w:val="21"/>
          <w:szCs w:val="21"/>
        </w:rPr>
        <w:t xml:space="preserve">	75</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23. Balanced accuracy of the fine-tuned configurations.</w:t>
      </w:r>
      <w:r>
        <w:rPr>
          <w:rFonts w:ascii="Times New Roman" w:cs="Times New Roman" w:eastAsia="Times New Roman" w:hAnsi="Times New Roman"/>
          <w:sz w:val="21"/>
          <w:szCs w:val="21"/>
        </w:rPr>
        <w:t xml:space="preserve">	76</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24. Confusion matrix of the best fine-tuned configuration.</w:t>
      </w:r>
      <w:r>
        <w:rPr>
          <w:rFonts w:ascii="Times New Roman" w:cs="Times New Roman" w:eastAsia="Times New Roman" w:hAnsi="Times New Roman"/>
          <w:sz w:val="21"/>
          <w:szCs w:val="21"/>
        </w:rPr>
        <w:t xml:space="preserve">	77</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25. Attention of the headline model for one correctly classified test image of each class.</w:t>
      </w:r>
      <w:r>
        <w:rPr>
          <w:rFonts w:ascii="Times New Roman" w:cs="Times New Roman" w:eastAsia="Times New Roman" w:hAnsi="Times New Roman"/>
          <w:sz w:val="21"/>
          <w:szCs w:val="21"/>
        </w:rPr>
        <w:t xml:space="preserve">	78</w:t>
      </w:r>
    </w:p>
    <w:p>
      <w:pPr>
        <w:tabs>
          <w:tab w:val="right" w:pos="9360" w:leader="dot"/>
        </w:tabs>
        <w:spacing w:after="60" w:line="240" w:lineRule="auto"/>
        <w:ind w:left="0" w:right="500" w:hanging="0"/>
      </w:pPr>
      <w:r>
        <w:rPr>
          <w:rFonts w:ascii="Times New Roman" w:cs="Times New Roman" w:eastAsia="Times New Roman" w:hAnsi="Times New Roman"/>
          <w:b w:val="false"/>
          <w:bCs w:val="false"/>
          <w:sz w:val="21"/>
          <w:szCs w:val="21"/>
        </w:rPr>
        <w:t xml:space="preserve">Figure 26. Two-dimensional t-distributed stochastic neighbour embedding projection of the image embeddings of the frozen headline encoder.</w:t>
      </w:r>
      <w:r>
        <w:rPr>
          <w:rFonts w:ascii="Times New Roman" w:cs="Times New Roman" w:eastAsia="Times New Roman" w:hAnsi="Times New Roman"/>
          <w:sz w:val="21"/>
          <w:szCs w:val="21"/>
        </w:rPr>
        <w:t xml:space="preserve">	79</w:t>
      </w:r>
    </w:p>
    <w:p>
      <w:r>
        <w:br w:type="page"/>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is the most common cancer of childhood and is characterised by the uncontrolled proliferation of immature lymphoid cells in the bone marrow and blood. Examination of a stained peripheral blood smear is an inexpensive first step in diagnosis, but it depends on the availability of trained hematologists, and agreement between observers on the morphology of individual blasts is imperfect. Automated analysis of peripheral blood smear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colour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response with scale normalisation, a Canny edge map, and an adaptive principal-curvature response,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central processor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hybrid-diffusion edge detection, adaptive principal-curvature structure detection, ensemble mode decomposition, selection of pure intrinsic mode functions and morphological feature extraction - together with the stages that prepare the images for them and for the classifier. Each stage is implemented and covered by automated tests. A separate pass of the pipeline with hybrid diffusion and ensemble mode decomposition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hybrid diffusion and ensemble mode decomposition outputs enter the classification only through hand-made features, which are evaluated in a separate tabular analysis (Results, Contribution of the processing stages); they are not channels of the foundation-model input. Second, the description of the adaptive principal-curvature stage as blood-vessel segmentation in the project title does not apply literally to peripheral blood smears, which contain no vessels; the adaptive principal-curvature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5.7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is shown next to it. Both remove fine noise and keep the cell outlines; the difference image shows that the diffusion changes mostly the interior of cells and the boundaries, in places where the unfiltered image has fine texture. The bilateral filter takes 6.4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hybrid-diffusion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adaptive principal-curvature layer is the weighted sum of the absolute values of the two Hessian eigenvalues, normalised by the square of the scale; it is large for curved structures such as cell outlines and thin folds. The Laplacian-of-Gaussian layer responds to blobs of the chosen scale, and the Canny layer is a binary edge map with an Otsu-derived threshold. In the example, the adaptive principal-curvature and Laplacian-of-Gaussian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ensemble mode decomposition and pure-mode selection</w:t>
      </w:r>
      <w:r>
        <w:rPr>
          <w:rFonts w:ascii="Times New Roman" w:cs="Times New Roman" w:eastAsia="Times New Roman" w:hAnsi="Times New Roman"/>
        </w:rPr>
        <w:t xml:space="preserve"> (Fig. 8). The decomposition separates the luminance into 4 modes with characteristic periods of 3.8, 7.5, 11.7, 19.9 pixels, from fine to coarse, and a smooth residue; the reconstruction error was 1.2e-07 (rounding). The decomposition takes 0.75 s per image on a central processor, which makes it the most expensive stage by an order of magnitude. The selection rule keeps a mode if its characteristic period lies between 3 and 48 pixels, which rejects pixel noise and illumination drift, and if it carries at least 1% of the detail energy. This rule is my own interpretable choice, because the project description did not define the criterion precisely. In the example, all 4 of 4 modes were kept, so the pure-mode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hybrid diffusion and ensemble mode decomposition)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graphics processor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area under the receiver operating characteristic curve is the macro average of one-vs-rest areas under the receiver operating characteristic computed from the rank statistic. The expected calibration error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central processor.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central processor, and the graphics processor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central processor.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confidence interval 0.955-0.978) and the macro-F1 was 0.967 (95% confidence interval 0.950-0.978). The area under the receiver operating characteristic curve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central processor.</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confidence interval 0.944-0.973). Removing stain colour (B, grayscale) lowered it by 0.018 (95% confidence interval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Fine-tuned runs completed by the author are listed in Table 11.</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hybrid diffusion and ensemble mode decomposition were enabled (Table 12). Each variant sees only the named features and no pixels. Shape features alone gave a balanced accuracy of 0.528, texture features 0.662, and both together 0.719. The layer statistics alone gave 0.571, 0.507, 0.551 (hybrid-diffusion edge indicator), 0.515 (pure-mode layer) and 0.446 (mode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confidence interval +0.081 to +0.127, Holm p = 0.003); adding the hybrid-diffusion edge indicator then gave 0.850 (+0.133 relative to shape and texture, Holm p = 0.003), and adding the ensemble mode decomposition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pure-mode rule kept the first to fourth mode in 100.0%, 100.0%, 100.0%, 100.0% of the 3256 images, respectively; in 100.0% of the images all modes were kept and in 0.0% none. A selection rule that keeps nearly every mode adds little to the decomposition itself; the information gained from the ensemble mode decomposition stage should be judged from Table 12, not from the selection.</w:t>
      </w:r>
    </w:p>
    <w:p>
      <w:pPr>
        <w:keepNext/>
        <w:spacing w:line="480" w:lineRule="auto"/>
        <w:jc w:val="left"/>
      </w:pPr>
      <w:r>
        <w:rPr>
          <w:rFonts w:ascii="Times New Roman" w:cs="Times New Roman" w:eastAsia="Times New Roman" w:hAnsi="Times New Roman"/>
          <w:b/>
          <w:bCs/>
          <w:i/>
          <w:iCs/>
        </w:rPr>
        <w:t xml:space="preserve">What the outputs of the processing stages tell us</w:t>
      </w:r>
    </w:p>
    <w:p>
      <w:pPr>
        <w:spacing w:line="480" w:lineRule="auto"/>
        <w:ind w:firstLine="720"/>
        <w:jc w:val="left"/>
      </w:pPr>
      <w:r>
        <w:rPr>
          <w:rFonts w:ascii="Times New Roman" w:cs="Times New Roman" w:eastAsia="Times New Roman" w:hAnsi="Times New Roman"/>
        </w:rPr>
        <w:t xml:space="preserve">This subsection states, stage by stage, what the output images of Figs. 5 to 12 show, what can be read from them, and what they are not. Table 13 gives the corresponding values inside the cells of each class.</w:t>
      </w:r>
    </w:p>
    <w:p>
      <w:pPr>
        <w:spacing w:line="480" w:lineRule="auto"/>
        <w:ind w:firstLine="720"/>
        <w:jc w:val="left"/>
      </w:pPr>
      <w:r>
        <w:rPr>
          <w:rFonts w:ascii="Times New Roman" w:cs="Times New Roman" w:eastAsia="Times New Roman" w:hAnsi="Times New Roman"/>
          <w:i/>
          <w:iCs/>
        </w:rPr>
        <w:t xml:space="preserve">Hybrid-diffusion edge detection.</w:t>
      </w:r>
      <w:r>
        <w:rPr>
          <w:rFonts w:ascii="Times New Roman" w:cs="Times New Roman" w:eastAsia="Times New Roman" w:hAnsi="Times New Roman"/>
        </w:rPr>
        <w:t xml:space="preserve"> The edge indicator is an image in which pixels that lie on strong intensity edges are close to 1 and flat regions are close to 0. In the output images (Fig. 6) the cell outlines, the outlines of red blood cells and the scale bar are bright, while the interior of cells and the background are dark. Measured inside the segmented cells (Table 13), the indicator was 2.1, 2.8, 2.8 and 2.5 times larger on the rim than in the interior for Benign, Early, Pre and Pro cells, so the edge detector does concentrate on the cell boundary, as intended. The statistics of this layer inside a cell therefore describe the sharpness and the contrast of its boundary and the amount of edge-like texture inside it. What the output does not give is a segmentation: it marks every edge, whether of a leukocyte, a red cell or debris, and it depends on the focus of the image.</w:t>
      </w:r>
    </w:p>
    <w:p>
      <w:pPr>
        <w:spacing w:line="480" w:lineRule="auto"/>
        <w:ind w:firstLine="720"/>
        <w:jc w:val="left"/>
      </w:pPr>
      <w:r>
        <w:rPr>
          <w:rFonts w:ascii="Times New Roman" w:cs="Times New Roman" w:eastAsia="Times New Roman" w:hAnsi="Times New Roman"/>
          <w:i/>
          <w:iCs/>
        </w:rPr>
        <w:t xml:space="preserve">Adaptive principal-curvature response.</w:t>
      </w:r>
      <w:r>
        <w:rPr>
          <w:rFonts w:ascii="Times New Roman" w:cs="Times New Roman" w:eastAsia="Times New Roman" w:hAnsi="Times New Roman"/>
        </w:rPr>
        <w:t xml:space="preserve"> The output (Fig. 7) is large where the image intensity bends sharply, which includes the outline of a cell, thin dark folds and the narrow gaps between cells. In the cells of this dataset its median value inside the cell was 0.23 for Benign, 0.24 for Early, 0.22 for Pre and 0.21 for Pro, with the rim only slightly higher than the interior, so the response reflects the fine texture of the cell as much as its outline. As noted above, blood smears contain no vessels, so the layer is not a vessel segmentation; it is a measure of local curvature, used here as a texture and boundary descriptor. The class differences in its median are small, and its value for classification comes from combination with other features (Table 12).</w:t>
      </w:r>
    </w:p>
    <w:p>
      <w:pPr>
        <w:spacing w:line="480" w:lineRule="auto"/>
        <w:ind w:firstLine="720"/>
        <w:jc w:val="left"/>
      </w:pPr>
      <w:r>
        <w:rPr>
          <w:rFonts w:ascii="Times New Roman" w:cs="Times New Roman" w:eastAsia="Times New Roman" w:hAnsi="Times New Roman"/>
          <w:i/>
          <w:iCs/>
        </w:rPr>
        <w:t xml:space="preserve">Laplacian-of-Gaussian and Canny layers.</w:t>
      </w:r>
      <w:r>
        <w:rPr>
          <w:rFonts w:ascii="Times New Roman" w:cs="Times New Roman" w:eastAsia="Times New Roman" w:hAnsi="Times New Roman"/>
        </w:rPr>
        <w:t xml:space="preserve"> The Laplacian-of-Gaussian output responds to blob-like structures of the chosen size; the median inside the cell was 0.27 for Pre cells against 0.32 for Early cells, and the rim values were lower than the interior values, which is the opposite of the edge and curvature layers and shows that the layer describes the blob-like body of the cell and not its outline. The Canny output is a binary edge map and is used for inspection and not as a feature.</w:t>
      </w:r>
    </w:p>
    <w:p>
      <w:pPr>
        <w:spacing w:line="480" w:lineRule="auto"/>
        <w:ind w:firstLine="720"/>
        <w:jc w:val="left"/>
      </w:pPr>
      <w:r>
        <w:rPr>
          <w:rFonts w:ascii="Times New Roman" w:cs="Times New Roman" w:eastAsia="Times New Roman" w:hAnsi="Times New Roman"/>
          <w:i/>
          <w:iCs/>
        </w:rPr>
        <w:t xml:space="preserve">Ensemble mode decomposition and pure-mode selection.</w:t>
      </w:r>
      <w:r>
        <w:rPr>
          <w:rFonts w:ascii="Times New Roman" w:cs="Times New Roman" w:eastAsia="Times New Roman" w:hAnsi="Times New Roman"/>
        </w:rPr>
        <w:t xml:space="preserve"> The decomposition splits the luminance image into modes of decreasing spatial frequency (Fig. 8): the first mode contains the finest detail and noise and outlines the cell edges, the second and third show texture at the scale of chromatin and small cells, and the fourth shows structures of about the size of a cell, with a smooth residue holding the illumination. The sum of the selected modes (the pure-mode image) is therefore a band-passed detail image of the cell. The share of the total energy of the modes was small inside the cells (median 0.0008 for the finest and 0.0019 for the coarsest mode in Pre cells, in the units of the normalised luminance), and the pure-mode image varied inside the cell with a median standard deviation of 0.05 to 0.06 across the classes. The selection rule retained almost every mode in all images (Contribution of the processing stages), so in this dataset the pure-mode image is practically the sum of all modes, and the selection step does not change the output in a way that I can demonstrate. The stage is the most expensive of the pipeline, and it adds measurable information only in combination with the other features.</w:t>
      </w:r>
    </w:p>
    <w:p>
      <w:pPr>
        <w:spacing w:line="480" w:lineRule="auto"/>
        <w:ind w:firstLine="720"/>
        <w:jc w:val="left"/>
      </w:pPr>
      <w:r>
        <w:rPr>
          <w:rFonts w:ascii="Times New Roman" w:cs="Times New Roman" w:eastAsia="Times New Roman" w:hAnsi="Times New Roman"/>
          <w:i/>
          <w:iCs/>
        </w:rPr>
        <w:t xml:space="preserve">Morphological features.</w:t>
      </w:r>
      <w:r>
        <w:rPr>
          <w:rFonts w:ascii="Times New Roman" w:cs="Times New Roman" w:eastAsia="Times New Roman" w:hAnsi="Times New Roman"/>
        </w:rPr>
        <w:t xml:space="preserve"> The output is a table with one row per cell (Fig. 12, Table 4): size, outline measures, colour, texture and layer statistics. It is the interpretable description of a cell, in contrast to the embedding of the foundation model, and it is the input of all tabular analyses of this paper. The class differences are modest for the outline measures and larger for size and colour (Table 14), and the nucleus measurements are missing for most cells because the nucleus step fails (Table 1). The features are as reliable as the segmentation on which they rest, whose boundaries were not validated against annotations.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14 summarises the per-cell measurements for the 26202 cells that do not touch the border. Cell size differed between classes: the median area was 360 pixels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receiver operating characteristic curve of the pooled out-of-fold probabilities was 0.996 for Benign, 0.995 for Early, 0.988 for Pre and 0.999 for Pro (Fig. 19a). The area under the precision-recall curve was 0.986, 0.984, 0.986 and 0.993 (Fig. 19b). The Pre class had the lowest area under the receiver operating characteristic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defined (Methods, Hyperparameters of the planned fine-tuning experiments); of these, one was run to completion within available compute: low-rank adaptation of DinoBloom-S with colour images of isolated cells (g01). Table 11 lists the result alongside the frozen reference.</w:t>
      </w:r>
    </w:p>
    <w:p>
      <w:pPr>
        <w:spacing w:line="480" w:lineRule="auto"/>
        <w:ind w:firstLine="720"/>
        <w:jc w:val="left"/>
      </w:pPr>
      <w:r>
        <w:rPr>
          <w:rFonts w:ascii="Times New Roman" w:cs="Times New Roman" w:eastAsia="Times New Roman" w:hAnsi="Times New Roman"/>
        </w:rPr>
        <w:t xml:space="preserve">The adapted model reached a pooled balanced accuracy of 91.7% (95% cluster-bootstrap confidence interval [89.8%, 93.5%], macro-F1 0.907), which is 5.1 percentage points below the frozen reference (96.8%). The drop is concentrated in the Early and Pre classes, whose recall fell from 97.3% to 88.2% and from 95.7% to 84.9% respectively, while Benign (95.8%) and Pro (97.8%) remained near their frozen values. The per-fold standard deviation of balanced accuracy was 1.6 pp, comparable to the frozen model.</w:t>
      </w:r>
    </w:p>
    <w:p>
      <w:pPr>
        <w:spacing w:line="480" w:lineRule="auto"/>
        <w:ind w:firstLine="720"/>
        <w:jc w:val="left"/>
      </w:pPr>
      <w:r>
        <w:rPr>
          <w:rFonts w:ascii="Times New Roman" w:cs="Times New Roman" w:eastAsia="Times New Roman" w:hAnsi="Times New Roman"/>
        </w:rPr>
        <w:t xml:space="preserve">This result indicates that low-rank adaptation did not improve classification under the session-aware protocol and in fact degraded it. The frozen DinoBloom-S features, which were pre-trained on a large corpus of hematology images, already captured the morphological distinctions between the four classes; adaptation with only 0.39 million trainable parameters appears to have overfit to within-fold training data without learning generalisable structure. Whether full fine-tuning, a different encoder or the deliberate shortcut control (g08, which leaves the background in the image) would give a different outcome cannot be answered from the present run alone; the remaining seven configurations were defined (Appendix VIII) but not run due to compute constraints.</w:t>
      </w:r>
    </w:p>
    <w:p>
      <w:pPr>
        <w:spacing w:line="480" w:lineRule="auto"/>
        <w:ind w:firstLine="720"/>
        <w:jc w:val="left"/>
      </w:pPr>
      <w:r>
        <w:rPr>
          <w:rFonts w:ascii="Times New Roman" w:cs="Times New Roman" w:eastAsia="Times New Roman" w:hAnsi="Times New Roman"/>
        </w:rPr>
        <w:t xml:space="preserve">Figure 22 shows the training curves of the adapted model. Figure 23 compares the balanced accuracy of the adapted model with the frozen reference. The confusion matrix of the adapted model is shown in Fig. 24.</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standard deviation)</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(pixels)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colour to normalised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colour to denoised colour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hybrid-diffusion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adaptive principal-curvature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Laplacian-of-Gaussian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ensemble mode decomposition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empirical mode decomposition,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intrinsic mode functions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Pure-intrinsic mode function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intrinsic mode functions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grey-level co-occurrence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"Original hybrid diffusion" is the diffusion scheme of the original repository; "stabilised hybrid diffusion"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standard deviation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Original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hybrid diffusion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original hybrid diffusion -17.2 dB, stabilised hybrid diffusion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hybrid-diffusion edge value comes from a separate pass with hybrid diffusion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(pixels)</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grey-level co-occurrence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adaptive principal-curvature</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hybrid-diffusion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standard deviation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standard deviation</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expected calibration error: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confidence interval)</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standard deviation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Of the eight planned configurations (Appendix VIII), 1 was run to completion within available compute; the remainder are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0.917</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0.898-0.935</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0.907</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confidence interval</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confidence interval)</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Values of the stage outputs inside the segmented cells, by class: median and interquartile range (in parentheses) over cells that do not touch the border, from the pass with hybrid diffusion and ensemble mode decomposition enabled. The rim is the two-pixel band at the border of the cell. The values are descriptive.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92"/>
        <w:gridCol w:w="1642"/>
        <w:gridCol w:w="1642"/>
        <w:gridCol w:w="1642"/>
        <w:gridCol w:w="1642"/>
      </w:tblGrid>
      <w:tr>
        <w:trPr>
          <w:tblHeader/>
        </w:trPr>
        <w:tc>
          <w:tcPr>
            <w:tcW w:type="dxa" w:w="27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Output</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64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(0.036 to 0.103)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0.076 (0.063 to 0.093)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0.064 (0.041 to 0.091)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0.079 (0.061 to 0.100)</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Hybrid-diffusion edge indicator, mean on the cell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(0.073 to 0.229)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0.214 (0.176 to 0.256)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0.176 (0.108 to 0.244)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0.200 (0.152 to 0.255)</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0.227 (0.168 to 0.344)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0.235 (0.202 to 0.275)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0.218 (0.167 to 0.276)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0.215 (0.180 to 0.261)</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0.243 (0.188 to 0.334)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0.263 (0.232 to 0.294)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0.259 (0.220 to 0.293)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0.219 (0.189 to 0.253)</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0.301 (0.209 to 0.464)</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0.319 (0.264 to 0.382)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0.270 (0.194 to 0.348)</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0.283 (0.227 to 0.349)</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Laplacian-of-Gaussian, mean on the rim</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0.208 (0.149 to 0.305)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0.201 (0.170 to 0.233)</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0.162 (0.132 to 0.196)</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0.167 (0.140 to 0.198)</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Pure-mode image, standard deviation inside the cell</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0.053 (0.041 to 0.069)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0.058 (0.050 to 0.065)</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0.052 (0.045 to 0.059)</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0.048 (0.041 to 0.056)</w:t>
            </w:r>
          </w:p>
        </w:tc>
      </w:tr>
      <w:tr>
        <w:tc>
          <w:tcPr>
            <w:tcW w:type="dxa" w:w="27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1 (finest) energy</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0.0007 (0.0004 to 0.0011)</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0.0009 (0.0006 to 0.0012)</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0.0008 (0.0005 to 0.0010)</w:t>
            </w:r>
          </w:p>
        </w:tc>
        <w:tc>
          <w:tcPr>
            <w:tcW w:type="dxa" w:w="164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0.0006 (0.0004 to 0.0009)</w:t>
            </w:r>
          </w:p>
        </w:tc>
      </w:tr>
      <w:tr>
        <w:tc>
          <w:tcPr>
            <w:tcW w:type="dxa" w:w="27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Mode 4 (coarsest) energy</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(0.0012 to 0.0031)</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(0.0014 to 0.0025)</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0.0019 (0.0013 to 0.0026)</w:t>
            </w:r>
          </w:p>
        </w:tc>
        <w:tc>
          <w:tcPr>
            <w:tcW w:type="dxa" w:w="164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0.0016 (0.0012 to 0.0021)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14.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ybrid diffusion (30 itera"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hybrid diffusion (30 iterations), and the absolute difference between input and hybrid diffusion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00375"/>
            <wp:effectExtent t="0" r="0" b="0" l="0"/>
            <wp:docPr id="1" name="fig6" descr="Stage 3, hybrid-diffusion edge indicator. Top: luminance of one image per class. Bottom: the edge indicator 1 - mean diffusivity of the denoised image (0 in flat regions, close to 1 across strong edg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003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hybrid-diffusion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response, Laplacian-of-Gaussian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response, Laplacian-of-Gaussian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ensemble mode decomposition and pure-mode selection for the luminance of WBC-Malignant-Early-025. The four intrinsic mode functions are ordered from fine to coarse; the title of each g"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ensemble mode decomposition and pure-mode selection for the luminance of WBC-Malignant-Early-025. The four intrinsic mode functions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xpected calib"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expected calibration error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095500"/>
            <wp:effectExtent t="0" r="0" b="0" l="0"/>
            <wp:docPr id="1" name="fig22" descr="Training curves of the low-rank adaptation of DinoBloom-S (run g01). For each fold: training loss, validation macro-F1 (star: best epoch) and learning rate against epoch."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095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sz w:val="22"/>
          <w:szCs w:val="22"/>
        </w:rPr>
        <w:t xml:space="preserve">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5943600"/>
            <wp:effectExtent t="0" r="0" b="0" l="0"/>
            <wp:docPr id="1" name="fig23" descr="Balanced accuracy of the fine-tuned configurations. One marker per configuration of Table 11 with its 95% cluster-bootstrap interval, sorted by accuracy; the dashed line is the frozen headline model."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59436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sz w:val="22"/>
          <w:szCs w:val="22"/>
        </w:rPr>
        <w:t xml:space="preserve">Balanced accuracy of the fine-tuned configurations. One marker per configuration of Table 11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4076700"/>
            <wp:effectExtent t="0" r="0" b="0" l="0"/>
            <wp:docPr id="1" name="fig24" descr="Confusion matrix of the best fine-tuned configuration. Pooled out-of-fold confusion matrix, as in Fig. 16a."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40767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sz w:val="22"/>
          <w:szCs w:val="22"/>
        </w:rPr>
        <w:t xml:space="preserve">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distributed stochastic neighbour embedding projection of the image embeddings of the frozen headline encoder (mean over the cells of an image, after reduction to 50 principal compone"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t-distributed stochastic neighbour embedding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central processor; fine-tuning of the encoder and a comparison of encoders on a graphics processor was prepared and tested in code but its results are not part of this paper, except where reported above.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pure-mode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Fine-tuning</w:t>
      </w:r>
    </w:p>
    <w:p>
      <w:pPr>
        <w:spacing w:line="480" w:lineRule="auto"/>
        <w:ind w:firstLine="720"/>
        <w:jc w:val="left"/>
      </w:pPr>
      <w:r>
        <w:rPr>
          <w:rFonts w:ascii="Times New Roman" w:cs="Times New Roman" w:eastAsia="Times New Roman" w:hAnsi="Times New Roman"/>
        </w:rPr>
        <w:t xml:space="preserve">Low-rank adaptation of DinoBloom-S (g01) reduced the pooled balanced accuracy from 96.8% (frozen) to 91.7% (Table 11, Fig. 23). The frozen features were therefore not limiting; adaptation hurt rather than helped. The degradation was concentrated in the Early and Pre classes, which are the two intermediate maturation stages that share the most morphological overlap. One interpretation is that the frozen encoder, pre-trained on a large and diverse hematology corpus, already encoded the distinctions that matter, and the small number of trainable parameters in the low-rank adaptation adapters could not learn a better representation from a single dataset of 3256 images under a strict session-aware split. An alternative interpretation is that the adapter learned session-specific cues that generalised within the training folds but not across the embargo boundary.</w:t>
      </w:r>
    </w:p>
    <w:p>
      <w:pPr>
        <w:spacing w:line="480" w:lineRule="auto"/>
        <w:ind w:firstLine="720"/>
        <w:jc w:val="left"/>
      </w:pPr>
      <w:r>
        <w:rPr>
          <w:rFonts w:ascii="Times New Roman" w:cs="Times New Roman" w:eastAsia="Times New Roman" w:hAnsi="Times New Roman"/>
        </w:rPr>
        <w:t xml:space="preserve">Because only one of eight planned configurations was run (the remaining seven were not completed due to compute constraints), the study cannot determine whether the degradation is specific to low-rank adaptation, to the DinoBloom-S architecture, or to the training hyperparameters. In particular, the deliberate shortcut control (g08, which retains the background) was not run, so the causal role of the background cannot be isolated by comparing g01 with g08. The frozen-encoder result therefore remains the primary finding.</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9630-9640.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SMC-3(6):610-621.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 MICCAI 2024. Cham: Springer. p 520-530.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and the scikit-image contributors.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under curve</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central processor.</w:t>
      </w:r>
    </w:p>
    <w:p>
      <w:pPr>
        <w:spacing w:line="480" w:lineRule="auto"/>
        <w:ind w:firstLine="0"/>
        <w:jc w:val="left"/>
      </w:pPr>
      <w:r>
        <w:rPr>
          <w:rFonts w:ascii="Times New Roman" w:cs="Times New Roman" w:eastAsia="Times New Roman" w:hAnsi="Times New Roman"/>
        </w:rPr>
        <w:t xml:space="preserve">Eight graphics-processor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central processor with a few steps, but their results are reported in the Results.</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central processor).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p>
      <w:r>
        <w:br w:type="page"/>
      </w:r>
    </w:p>
    <w:p>
      <w:pPr>
        <w:keepNext/>
        <w:spacing w:line="480" w:lineRule="auto"/>
        <w:jc w:val="center"/>
      </w:pPr>
      <w:r>
        <w:rPr>
          <w:rFonts w:ascii="Times New Roman" w:cs="Times New Roman" w:eastAsia="Times New Roman" w:hAnsi="Times New Roman"/>
          <w:b/>
          <w:bCs/>
        </w:rPr>
        <w:t xml:space="preserve">APPENDIX XIV. CITATION INDEX</w:t>
      </w:r>
    </w:p>
    <w:p>
      <w:pPr>
        <w:spacing w:line="480" w:lineRule="auto"/>
        <w:ind w:firstLine="0"/>
        <w:jc w:val="left"/>
      </w:pPr>
      <w:r>
        <w:rPr>
          <w:rFonts w:ascii="Times New Roman" w:cs="Times New Roman" w:eastAsia="Times New Roman" w:hAnsi="Times New Roman"/>
        </w:rPr>
        <w:t xml:space="preserve">The citations follow the name-year style of the guide: one or two authors are named, three or more are given as the first author and "et al.", several citations in one parenthesis are separated by semicolons, and the full reference is in Literature Cited, in alphabetical order with a hanging indent. Table A17 lists every reference that is cited, what it is cited for in this paper, and the pages of the paper on which it is cited. The 7 sources that were consulted but are not cited are not listed in Literature Cited.</w:t>
      </w:r>
    </w:p>
    <w:p>
      <w:pPr>
        <w:keepNext/>
        <w:spacing w:after="120" w:before="240" w:line="240" w:lineRule="auto"/>
        <w:jc w:val="left"/>
      </w:pPr>
      <w:r>
        <w:rPr>
          <w:rFonts w:ascii="Times New Roman" w:cs="Times New Roman" w:eastAsia="Times New Roman" w:hAnsi="Times New Roman"/>
          <w:sz w:val="22"/>
          <w:szCs w:val="22"/>
        </w:rPr>
        <w:t xml:space="preserve">Table A17. </w:t>
      </w:r>
      <w:r>
        <w:rPr>
          <w:rFonts w:ascii="Times New Roman" w:cs="Times New Roman" w:eastAsia="Times New Roman" w:hAnsi="Times New Roman"/>
          <w:sz w:val="22"/>
          <w:szCs w:val="22"/>
        </w:rPr>
        <w:t xml:space="preserve">Citation index: reference, use in this paper and pages on which it is cited.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4992"/>
        <w:gridCol w:w="1664"/>
      </w:tblGrid>
      <w:tr>
        <w:trPr>
          <w:tblHeader/>
        </w:trPr>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Reference</w:t>
            </w:r>
          </w:p>
        </w:tc>
        <w:tc>
          <w:tcPr>
            <w:tcW w:type="dxa" w:w="499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Cited for</w:t>
            </w:r>
          </w:p>
        </w:tc>
        <w:tc>
          <w:tcPr>
            <w:tcW w:type="dxa" w:w="16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Pages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Adebayo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Sanity checks for saliency maps; basis of the model-randomisation test</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12, 38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Albzour 2026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Leakage-aware benchmark for leukemia classification (related concern)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Arber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Classification of acute leukemia (clinical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Aria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public dataset analysed in this study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7, 9, 13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Bradski 2000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OpenCV library used in the pipeline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Caron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Self-supervised vision transformers (background to DINOv2)</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DeGrave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learning in radiographic COVID-19 classifiers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7, 12, 80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Dosovitskiy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Vision transformer architecture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Efron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resampling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Frangi et al. 1998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Multiscale vesselness filter (basis of the curvature layer)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Geirhos et al. 2020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Concept of shortcut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7, 12, 80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Ghaderzadeh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Description of the dataset and its classes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7, 9, 13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Guo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 for calibration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Haralick et al. 1973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texture features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10, 21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 convolutional network (ResNet)</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adjustment for multiple comparisons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network weights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18, 26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Hunger and Mullighan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Clinical background of childhood acute lymphoblastic leukemia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Ilse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pooling over instances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17, 24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Kapoor and Narayanan 2023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 leakage and reproducibility in machine-learning-based science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7, 11, 83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Kingma and Ba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 optimiser (basis of AdamW)</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Koch et al. 2024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 hematology foundation model (the encoder used)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Kohavi 1995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Estimating accuracy by cross-validation and bootstrap</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Kornblith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Transferability of pretrained image models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Kouzehkanan et al.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Raabin-WBC dataset (proposed external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Krizhevsky et al. 2012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Deep convolutional networks for image classification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Labati et al. 2011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Classical image analysis of leukemia smears (ALL-IDB)</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Loshchilov and Hutter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optimiser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17, 24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Macenko et al. 2009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Stain-separation colour normalisation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Matek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Single-cell blast recognition (myeloid) with convolutional networks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Meyer and Beucher 1990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Watershed segmentation of touching cells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Mourya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C-NMC challenge dataset (proposed external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Nadeau and Bengio 2003</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Corrected resampled t test for cross-validation comparisons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Oquab et al. 2024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 self-supervised vision transformer</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8, 10, 17</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1979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threshold selection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Pan and Yang 2010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Survey of transfer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Paszke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PyTorch deep-learning library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Pedregosa et al. 2011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scikit-learn library (random forest, logistic regression)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Perona and Malik 1990</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Anisotropic diffusion (basis of the hybrid diffusion)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Reinhard et al. 2001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 normalisation by matching channel statistics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Blocked cross-validation for dependent data</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Methodological flaws in COVID-19 imaging machine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Ronneberger et al. 2015</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U-Net segmentation network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Schmidt et al. 2018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StarDist cell detection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Selvaraju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Grad-CAM saliency maps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Sokolova and Lapalme 2009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Classification performance measures (balanced accuracy)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26</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Stringer et al. 2021</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Cellpose segmentation (background)</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Tan and Le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 architecture</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10, 18</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Tellez et al. 2019</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Effect of stain normalisation and augmentation on classifiers</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11, 14</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Tomasi and Manduchi 1998</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Bilateral filtering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14, 19</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Vahadane et al. 2016</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Structure-preserving stain normalisation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van der Walt et al. 2014</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scikit-image library</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Varoquaux and Cheplygina 2022</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Methodological failures in medical-imaging machine learning</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11, 83</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Vaswani et al. 2017</w:t>
            </w:r>
          </w:p>
        </w:tc>
        <w:tc>
          <w:tcPr>
            <w:tcW w:type="dxa" w:w="499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Transformer architecture and attention</w:t>
            </w:r>
          </w:p>
        </w:tc>
        <w:tc>
          <w:tcPr>
            <w:tcW w:type="dxa" w:w="16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w:t>
            </w:r>
          </w:p>
        </w:tc>
      </w:tr>
      <w:tr>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Wightman 2019</w:t>
            </w:r>
          </w:p>
        </w:tc>
        <w:tc>
          <w:tcPr>
            <w:tcW w:type="dxa" w:w="499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timm library of image models</w:t>
            </w:r>
          </w:p>
        </w:tc>
        <w:tc>
          <w:tcPr>
            <w:tcW w:type="dxa" w:w="16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18</w:t>
            </w:r>
          </w:p>
        </w:tc>
      </w:tr>
    </w:tbl>
    <w:p>
      <w:r>
        <w:br w:type="page"/>
      </w:r>
    </w:p>
    <w:p>
      <w:pPr>
        <w:keepNext/>
        <w:spacing w:line="480" w:lineRule="auto"/>
        <w:jc w:val="center"/>
      </w:pPr>
      <w:r>
        <w:rPr>
          <w:rFonts w:ascii="Times New Roman" w:cs="Times New Roman" w:eastAsia="Times New Roman" w:hAnsi="Times New Roman"/>
          <w:b/>
          <w:bCs/>
        </w:rPr>
        <w:t xml:space="preserve">APPENDIX XV. REFERENCE VERIFICATION RECORD</w:t>
      </w:r>
    </w:p>
    <w:p>
      <w:pPr>
        <w:spacing w:line="480" w:lineRule="auto"/>
        <w:ind w:firstLine="0"/>
        <w:jc w:val="left"/>
      </w:pPr>
      <w:r>
        <w:rPr>
          <w:rFonts w:ascii="Times New Roman" w:cs="Times New Roman" w:eastAsia="Times New Roman" w:hAnsi="Times New Roman"/>
        </w:rPr>
        <w:t xml:space="preserve">Every reference was compared with an external record on 4 October 2026: author list, year, title, venue, volume and pages. Table A18 gives the identifier of the record and the source that was used. "Crossref" means the DOI registration agency's record; "proceedings page" means the publisher page of the conference; "arXiv" means the preprint page. Entries marked "not verified online" are standard citations whose metadata could not be reached from the computing environment and should be checked against the original source.</w:t>
      </w:r>
    </w:p>
    <w:p>
      <w:pPr>
        <w:keepNext/>
        <w:spacing w:after="120" w:before="240" w:line="240" w:lineRule="auto"/>
        <w:jc w:val="left"/>
      </w:pPr>
      <w:r>
        <w:rPr>
          <w:rFonts w:ascii="Times New Roman" w:cs="Times New Roman" w:eastAsia="Times New Roman" w:hAnsi="Times New Roman"/>
          <w:sz w:val="22"/>
          <w:szCs w:val="22"/>
        </w:rPr>
        <w:t xml:space="preserve">Table A18. </w:t>
      </w:r>
      <w:r>
        <w:rPr>
          <w:rFonts w:ascii="Times New Roman" w:cs="Times New Roman" w:eastAsia="Times New Roman" w:hAnsi="Times New Roman"/>
          <w:sz w:val="22"/>
          <w:szCs w:val="22"/>
        </w:rPr>
        <w:t xml:space="preserve">Reference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4"/>
        <w:gridCol w:w="3952"/>
        <w:gridCol w:w="2704"/>
      </w:tblGrid>
      <w:tr>
        <w:trPr>
          <w:tblHeader/>
        </w:trPr>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Reference</w:t>
            </w:r>
          </w:p>
        </w:tc>
        <w:tc>
          <w:tcPr>
            <w:tcW w:type="dxa" w:w="39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Identifier</w:t>
            </w:r>
          </w:p>
        </w:tc>
        <w:tc>
          <w:tcPr>
            <w:tcW w:type="dxa" w:w="27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Verified against</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Adebayo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doi:10.1007/978-3-031-16564-1_17</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Albzour 2026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arXiv:2606.24944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Arber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doi:10.1182/blood-2016-03-643544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Aria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doi:10.34740/KAGGLE/DSV/2175623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Kaggle dataset page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Bradski 2000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Dr. Dobb's Journal 25(11)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not verified online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Caron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doi:10.1109/iccv48922.2021.00951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DeGrave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doi:10.1101/2020.09.13.20193565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Dosovitskiy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arXiv:2010.11929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Efron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doi:10.1214/aos/1176344552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Frangi et al. 1998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doi:10.1007/bfb0056195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Geirhos et al. 2020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doi:10.1038/s42256-020-00257-z</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Ghaderzadeh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doi:10.1002/int.22753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Guo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(proceedings.mlr.press)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Haralick et al. 1973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doi:10.1109/tsmc.1973.4309314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doi:10.1109/cvpr.2016.90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Holm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JSTOR 4615733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not verified online</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arXiv:2106.09685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Hunger and Mullighan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doi:10.1056/NEJMra1400972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Ilse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(proceedings.mlr.press)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Kapoor and Narayanan 2023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doi:10.1016/j.patter.2023.100804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Kingma and Ba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arXiv:1412.6980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Koch et al. 2024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doi:10.1007/978-3-031-72390-2_49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Kohavi 1995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IJCAI 1995 proceedings</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IJCAI PDF (7 pages)</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Kornblith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(openaccess.thecvf.com)</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Kouzehkanan et al.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doi:10.1038/s41598-021-04426-x</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Krizhevsky et al. 2012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doi:10.1145/3065386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Labati et al. 2011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doi:10.1109/icip.2011.6115881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Loshchilov and Hutter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arXiv:1711.05101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Macenko et al. 2009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doi:10.1109/isbi.2009.5193250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Matek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doi:10.1038/s42256-019-0101-9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Meyer and Beucher 1990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doi:10.1016/1047-3203(90)90014-M</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Mourya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doi:10.7937/TCIA.2019.DC64I46R</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TCIA DOI (search result)</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Nadeau and Bengio 2003</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doi:10.1023/a:1024068626366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Oquab et al. 2024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arXiv:2304.07193</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arXiv</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Otsu 1979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doi:10.1109/tsmc.1979.4310076</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Pan and Yang 2010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doi:10.1109/TKDE.2009.191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Paszke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(proceedings.neurips.cc)</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Pedregosa et al. 2011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proceedings page (jmlr.org)</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Perona and Malik 1990</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doi:10.1109/34.56205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Reinhard et al. 2001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doi:10.1109/38.946629</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doi:10.1111/ecog.02881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Roberts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doi:10.1038/s42256-021-00307-0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 (authors shortened)</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Ronneberger et al. 2015</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doi:10.1007/978-3-319-24574-4_28</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Schmidt et al. 2018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doi:10.1007/978-3-030-00934-2_30</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Selvaraju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doi:10.1109/iccv.2017.74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Sokolova and Lapalme 2009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doi:10.1016/j.ipm.2009.03.002</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Stringer et al. 2021</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doi:10.1101/2020.02.02.931238</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Tan and Le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doi:10.1007/978-981-96-1747-0_1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Tellez et al. 2019</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doi:10.1016/j.media.2019.101544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Tomasi and Manduchi 1998</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doi:10.1109/iccv.1998.710815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Vahadane et al. 2016</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doi:10.1109/tmi.2016.2529665</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van der Walt et al. 2014</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doi:10.7287/peerj.preprints.336v1</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Varoquaux and Cheplygina 2022</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doi:10.1038/s41746-022-00592-y</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Vaswani et al. 2017</w:t>
            </w:r>
          </w:p>
        </w:tc>
        <w:tc>
          <w:tcPr>
            <w:tcW w:type="dxa" w:w="39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doi:10.65215/r5bs2d54</w:t>
            </w:r>
          </w:p>
        </w:tc>
        <w:tc>
          <w:tcPr>
            <w:tcW w:type="dxa" w:w="27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Crossref</w:t>
            </w:r>
          </w:p>
        </w:tc>
      </w:tr>
      <w:tr>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Wightman 2019</w:t>
            </w:r>
          </w:p>
        </w:tc>
        <w:tc>
          <w:tcPr>
            <w:tcW w:type="dxa" w:w="39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doi:10.5281/zenodo.4414861</w:t>
            </w:r>
          </w:p>
        </w:tc>
        <w:tc>
          <w:tcPr>
            <w:tcW w:type="dxa" w:w="27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Zenodo DOI</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0fcd3cf6005b81d7036b0457f657fa67a47f0942.png"/><Relationship Id="rId13" Type="http://schemas.openxmlformats.org/officeDocument/2006/relationships/image" Target="media/9476072cb6650b15b4f5dca259a9551df9ccc82c.png"/><Relationship Id="rId14" Type="http://schemas.openxmlformats.org/officeDocument/2006/relationships/image" Target="media/45793f5a9d55295bd0729e0f7100a2aa4fe25572.png"/><Relationship Id="rId15" Type="http://schemas.openxmlformats.org/officeDocument/2006/relationships/image" Target="media/1cd563aaaa301a8b7631aaa56300ca591bc07b0a.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07c432e4769a1186a766313936673ede4fd2012d.png"/><Relationship Id="rId30" Type="http://schemas.openxmlformats.org/officeDocument/2006/relationships/image" Target="media/18b8e0accc5bffb10385baa66a9c6966f561a8e5.png"/><Relationship Id="rId31" Type="http://schemas.openxmlformats.org/officeDocument/2006/relationships/image" Target="media/81ab9eca0e1eec68ed9472f9393a1ab58df4f952.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2026-10-05T08:39:18.328Z</dcterms:created>
  <dcterms:modified xsi:type="dcterms:W3CDTF">2026-10-05T08:39:18.328Z</dcterms:modified>
</cp:coreProperties>
</file>

<file path=docProps/custom.xml><?xml version="1.0" encoding="utf-8"?>
<Properties xmlns="http://schemas.openxmlformats.org/officeDocument/2006/custom-properties" xmlns:vt="http://schemas.openxmlformats.org/officeDocument/2006/docPropsVTypes"/>
</file>