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confidence interval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outputs of the processing stages tell us</w:t>
      </w:r>
      <w:r>
        <w:rPr>
          <w:rFonts w:ascii="Times New Roman" w:cs="Times New Roman" w:eastAsia="Times New Roman" w:hAnsi="Times New Roman"/>
          <w:sz w:val="22"/>
          <w:szCs w:val="22"/>
        </w:rPr>
        <w:t xml:space="preserve">	31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83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90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92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93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98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99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102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108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122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126</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39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Contribution of the processing stages to classification.</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Values of the stage outputs inside the segmented cells, by class: median and interquartile range.</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Per-cell features by class: median and interquartile range.</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14. Fine-tuning and encoder comparison under the same five contiguous session-aware folds.</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93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126</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hybrid-diffusion edge indicator.</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ensemble mode decomposition and pure-mode selection for the luminance of WBC-Malignant-Early-025.</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t-distributed stochastic neighbour embedding projection of the image embeddings of the frozen headline encoder.</w:t>
      </w:r>
      <w:r>
        <w:rPr>
          <w:rFonts w:ascii="Times New Roman" w:cs="Times New Roman" w:eastAsia="Times New Roman" w:hAnsi="Times New Roman"/>
          <w:sz w:val="21"/>
          <w:szCs w:val="21"/>
        </w:rPr>
        <w:t xml:space="preserve">	78</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is the most common cancer of childhood and is characterised by the uncontrolled proliferation of immature lymphoid cells in the bone marrow and blood. Examination of a stained peripheral blood smear is an inexpensive first step in diagnosis, but it depends on the availability of trained hematologists, and agreement between observers on the morphology of individual blasts is imperfect. Automated analysis of peripheral blood smear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colour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response with scale normalisation, a Canny edge map, and an adaptive principal-curvature response,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central processor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hybrid-diffusion edge detection, adaptive principal-curvature structure detection, ensemble mode decomposition, selection of pure intrinsic mode functions and morphological feature extraction - together with the stages that prepare the images for them and for the classifier. Each stage is implemented and covered by automated tests. A separate pass of the pipeline with hybrid diffusion and ensemble mode decomposition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hybrid diffusion and ensemble mode decomposition outputs enter the classification only through hand-made features, which are evaluated in a separate tabular analysis (Results, Contribution of the processing stages); they are not channels of the foundation-model input. Second, the description of the adaptive principal-curvature stage as blood-vessel segmentation in the project title does not apply literally to peripheral blood smears, which contain no vessels; the adaptive principal-curvature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5.7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is shown next to it. Both remove fine noise and keep the cell outlines; the difference image shows that the diffusion changes mostly the interior of cells and the boundaries, in places where the unfiltered image has fine texture. The bilateral filter takes 6.4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hybrid-diffusion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adaptive principal-curvature layer is the weighted sum of the absolute values of the two Hessian eigenvalues, normalised by the square of the scale; it is large for curved structures such as cell outlines and thin folds. The Laplacian-of-Gaussian layer responds to blobs of the chosen scale, and the Canny layer is a binary edge map with an Otsu-derived threshold. In the example, the adaptive principal-curvature and Laplacian-of-Gaussian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ensemble mode decomposition and pure-mode selection</w:t>
      </w:r>
      <w:r>
        <w:rPr>
          <w:rFonts w:ascii="Times New Roman" w:cs="Times New Roman" w:eastAsia="Times New Roman" w:hAnsi="Times New Roman"/>
        </w:rPr>
        <w:t xml:space="preserve"> (Fig. 8). The decomposition separates the luminance into 4 modes with characteristic periods of 3.8, 7.5, 11.7, 19.9 pixels, from fine to coarse, and a smooth residue; the reconstruction error was 1.2e-07 (rounding). The decomposition takes 0.75 s per image on a central processor, which makes it the most expensive stage by an order of magnitude. The selection rule keeps a mode if its characteristic period lies between 3 and 48 pixels, which rejects pixel noise and illumination drift, and if it carries at least 1% of the detail energy. This rule is my own interpretable choice, because the project description did not define the criterion precisely. In the example, all 4 of 4 modes were kept, so the pure-mode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hybrid diffusion and ensemble mode decomposition)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graphics processor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area under the receiver operating characteristic curve is the macro average of one-vs-rest areas under the receiver operating characteristic computed from the rank statistic. The expected calibration error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central processor.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central processor, and the graphics processor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central processor.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confidence interval 0.955-0.978) and the macro-F1 was 0.967 (95% confidence interval 0.950-0.978). The area under the receiver operating characteristic curve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central processor.</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confidence interval 0.944-0.973). Removing stain colour (B, grayscale) lowered it by 0.018 (95% confidence interval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hybrid diffusion and ensemble mode decomposition were enabled (Table 11). Each variant sees only the named features and no pixels. Shape features alone gave a balanced accuracy of 0.528, texture features 0.662, and both together 0.719. The layer statistics alone gave 0.571, 0.507, 0.551 (hybrid-diffusion edge indicator), 0.515 (pure-mode layer) and 0.446 (mode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confidence interval +0.081 to +0.127, Holm p = 0.003); adding the hybrid-diffusion edge indicator then gave 0.850 (+0.133 relative to shape and texture, Holm p = 0.003), and adding the ensemble mode decomposition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pure-mode rule kept the first to fourth mode in 100.0%, 100.0%, 100.0%, 100.0% of the 3256 images, respectively; in 100.0% of the images all modes were kept and in 0.0% none. A selection rule that keeps nearly every mode adds little to the decomposition itself; the information gained from the ensemble mode decomposition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What the outputs of the processing stages tell us</w:t>
      </w:r>
    </w:p>
    <w:p>
      <w:pPr>
        <w:spacing w:line="480" w:lineRule="auto"/>
        <w:ind w:firstLine="720"/>
        <w:jc w:val="left"/>
      </w:pPr>
      <w:r>
        <w:rPr>
          <w:rFonts w:ascii="Times New Roman" w:cs="Times New Roman" w:eastAsia="Times New Roman" w:hAnsi="Times New Roman"/>
        </w:rPr>
        <w:t xml:space="preserve">This subsection states, stage by stage, what the output images of Figs. 5 to 12 show, what can be read from them, and what they are not. Table 12 gives the corresponding values inside the cells of each class.</w:t>
      </w:r>
    </w:p>
    <w:p>
      <w:pPr>
        <w:spacing w:line="480" w:lineRule="auto"/>
        <w:ind w:firstLine="720"/>
        <w:jc w:val="left"/>
      </w:pPr>
      <w:r>
        <w:rPr>
          <w:rFonts w:ascii="Times New Roman" w:cs="Times New Roman" w:eastAsia="Times New Roman" w:hAnsi="Times New Roman"/>
          <w:i/>
          <w:iCs/>
        </w:rPr>
        <w:t xml:space="preserve">Hybrid-diffusion edge detection.</w:t>
      </w:r>
      <w:r>
        <w:rPr>
          <w:rFonts w:ascii="Times New Roman" w:cs="Times New Roman" w:eastAsia="Times New Roman" w:hAnsi="Times New Roman"/>
        </w:rPr>
        <w:t xml:space="preserve"> The edge indicator is an image in which pixels that lie on strong intensity edges are close to 1 and flat regions are close to 0. In the output images (Fig. 6) the cell outlines, the outlines of red blood cells and the scale bar are bright, while the interior of cells and the background are dark. Measured inside the segmented cells (Table 12), the indicator was 2.1, 2.8, 2.8 and 2.5 times larger on the rim than in the interior for Benign, Early, Pre and Pro cells, so the edge detector does concentrate on the cell boundary, as intended. The statistics of this layer inside a cell therefore describe the sharpness and the contrast of its boundary and the amount of edge-like texture inside it. What the output does not give is a segmentation: it marks every edge, whether of a leukocyte, a red cell or debris, and it depends on the focus of the image.</w:t>
      </w:r>
    </w:p>
    <w:p>
      <w:pPr>
        <w:spacing w:line="480" w:lineRule="auto"/>
        <w:ind w:firstLine="720"/>
        <w:jc w:val="left"/>
      </w:pPr>
      <w:r>
        <w:rPr>
          <w:rFonts w:ascii="Times New Roman" w:cs="Times New Roman" w:eastAsia="Times New Roman" w:hAnsi="Times New Roman"/>
          <w:i/>
          <w:iCs/>
        </w:rPr>
        <w:t xml:space="preserve">Adaptive principal-curvature response.</w:t>
      </w:r>
      <w:r>
        <w:rPr>
          <w:rFonts w:ascii="Times New Roman" w:cs="Times New Roman" w:eastAsia="Times New Roman" w:hAnsi="Times New Roman"/>
        </w:rPr>
        <w:t xml:space="preserve"> The output (Fig. 7) is large where the image intensity bends sharply, which includes the outline of a cell, thin dark folds and the narrow gaps between cells. In the cells of this dataset its median value inside the cell was 0.23 for Benign, 0.24 for Early, 0.22 for Pre and 0.21 for Pro, with the rim only slightly higher than the interior, so the response reflects the fine texture of the cell as much as its outline. As noted above, blood smears contain no vessels, so the layer is not a vessel segmentation; it is a measure of local curvature, used here as a texture and boundary descriptor. The class differences in its median are small, and its value for classification comes from combination with other features (Table 11).</w:t>
      </w:r>
    </w:p>
    <w:p>
      <w:pPr>
        <w:spacing w:line="480" w:lineRule="auto"/>
        <w:ind w:firstLine="720"/>
        <w:jc w:val="left"/>
      </w:pPr>
      <w:r>
        <w:rPr>
          <w:rFonts w:ascii="Times New Roman" w:cs="Times New Roman" w:eastAsia="Times New Roman" w:hAnsi="Times New Roman"/>
          <w:i/>
          <w:iCs/>
        </w:rPr>
        <w:t xml:space="preserve">Laplacian-of-Gaussian and Canny layers.</w:t>
      </w:r>
      <w:r>
        <w:rPr>
          <w:rFonts w:ascii="Times New Roman" w:cs="Times New Roman" w:eastAsia="Times New Roman" w:hAnsi="Times New Roman"/>
        </w:rPr>
        <w:t xml:space="preserve"> The Laplacian-of-Gaussian output responds to blob-like structures of the chosen size; the median inside the cell was 0.27 for Pre cells against 0.32 for Early cells, and the rim values were lower than the interior values, which is the opposite of the edge and curvature layers and shows that the layer describes the blob-like body of the cell and not its outline. The Canny output is a binary edge map and is used for inspection and not as a feature.</w:t>
      </w:r>
    </w:p>
    <w:p>
      <w:pPr>
        <w:spacing w:line="480" w:lineRule="auto"/>
        <w:ind w:firstLine="720"/>
        <w:jc w:val="left"/>
      </w:pPr>
      <w:r>
        <w:rPr>
          <w:rFonts w:ascii="Times New Roman" w:cs="Times New Roman" w:eastAsia="Times New Roman" w:hAnsi="Times New Roman"/>
          <w:i/>
          <w:iCs/>
        </w:rPr>
        <w:t xml:space="preserve">Ensemble mode decomposition and pure-mode selection.</w:t>
      </w:r>
      <w:r>
        <w:rPr>
          <w:rFonts w:ascii="Times New Roman" w:cs="Times New Roman" w:eastAsia="Times New Roman" w:hAnsi="Times New Roman"/>
        </w:rPr>
        <w:t xml:space="preserve"> The decomposition splits the luminance image into modes of decreasing spatial frequency (Fig. 8): the first mode contains the finest detail and noise and outlines the cell edges, the second and third show texture at the scale of chromatin and small cells, and the fourth shows structures of about the size of a cell, with a smooth residue holding the illumination. The sum of the selected modes (the pure-mode image) is therefore a band-passed detail image of the cell. The share of the total energy of the modes was small inside the cells (median 0.0008 for the finest and 0.0019 for the coarsest mode in Pre cells, in the units of the normalised luminance), and the pure-mode image varied inside the cell with a median standard deviation of 0.05 to 0.06 across the classes. The selection rule retained almost every mode in all images (Contribution of the processing stages), so in this dataset the pure-mode image is practically the sum of all modes, and the selection step does not change the output in a way that I can demonstrate. The stage is the most expensive of the pipeline, and it adds measurable information only in combination with the other features.</w:t>
      </w:r>
    </w:p>
    <w:p>
      <w:pPr>
        <w:spacing w:line="480" w:lineRule="auto"/>
        <w:ind w:firstLine="720"/>
        <w:jc w:val="left"/>
      </w:pPr>
      <w:r>
        <w:rPr>
          <w:rFonts w:ascii="Times New Roman" w:cs="Times New Roman" w:eastAsia="Times New Roman" w:hAnsi="Times New Roman"/>
          <w:i/>
          <w:iCs/>
        </w:rPr>
        <w:t xml:space="preserve">Morphological features.</w:t>
      </w:r>
      <w:r>
        <w:rPr>
          <w:rFonts w:ascii="Times New Roman" w:cs="Times New Roman" w:eastAsia="Times New Roman" w:hAnsi="Times New Roman"/>
        </w:rPr>
        <w:t xml:space="preserve"> The output is a table with one row per cell (Fig. 12, Table 4): size, outline measures, colour, texture and layer statistics. It is the interpretable description of a cell, in contrast to the embedding of the foundation model, and it is the input of all tabular analyses of this paper. The class differences are modest for the outline measures and larger for size and colour (Table 13), and the nucleus measurements are missing for most cells because the nucleus step fails (Table 1). The features are as reliable as the segmentation on which they rest, whose boundaries were not validated against annotations.</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13 summarises the per-cell measurements for the 26202 cells that do not touch the border. Cell size differed between classes: the median area was 360 pixels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receiver operating characteristic curve of the pooled out-of-fold probabilities was 0.996 for Benign, 0.995 for Early, 0.988 for Pre and 0.999 for Pro (Fig. 19a). The area under the precision-recall curve was 0.986, 0.984, 0.986 and 0.993 (Fig. 19b). The Pre class had the lowest area under the receiver operating characteristic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14 is reserved for the results of these runs.</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Figures 22, 23 and 24 are reserved for the training curves of the adapted model, the comparison of the configurations with their intervals and the confusion matrix of the best configuration; they are currently sample images and show no results.</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standard deviation)</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(pixels)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colour to normalised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colour to denoised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hybrid-diffusion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adaptive principal-curvature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Laplacian-of-Gaussian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ensemble mode decomposition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empirical mode decomposition,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intrinsic mode functions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Pure-intrinsic mode function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intrinsic mode functions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grey-level co-occurrence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"Original hybrid diffusion" is the diffusion scheme of the original repository; "stabilised hybrid diffusion"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standard deviation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Original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original hybrid diffusion -17.2 dB, stabilised hybrid diffusion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hybrid-diffusion edge value comes from a separate pass with hybrid diffusion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grey-level co-occurrence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adaptive principal-curvature</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hybrid-diffusion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standard deviation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standard deviation</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expected calibration error: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confidence interval)</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confidence interval)</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Values of the stage outputs inside the segmented cells, by class: median and interquartile range (in parentheses) over cells that do not touch the border, from the pass with hybrid diffusion and ensemble mode decomposition enabled. The rim is the two-pixel band at the border of the cell. The values are descriptive.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92"/>
        <w:gridCol w:w="1642"/>
        <w:gridCol w:w="1642"/>
        <w:gridCol w:w="1642"/>
        <w:gridCol w:w="1642"/>
      </w:tblGrid>
      <w:tr>
        <w:trPr>
          <w:tblHeader/>
        </w:trPr>
        <w:tc>
          <w:tcPr>
            <w:tcW w:type="dxa" w:w="27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Output</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(0.036 to 0.103)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0.076 (0.063 to 0.093)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(0.041 to 0.091)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0.079 (0.061 to 0.100)</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on the cell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(0.073 to 0.229)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0.214 (0.176 to 0.256)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0.176 (0.108 to 0.244)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0.200 (0.152 to 0.255)</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0.227 (0.168 to 0.344)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0.235 (0.202 to 0.275)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0.218 (0.167 to 0.276)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0.215 (0.180 to 0.261)</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0.243 (0.188 to 0.334)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0.263 (0.232 to 0.294)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0.259 (0.220 to 0.293)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0.219 (0.189 to 0.253)</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0.301 (0.209 to 0.464)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0.319 (0.264 to 0.382)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0.270 (0.194 to 0.348)</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0.283 (0.227 to 0.349)</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0.208 (0.149 to 0.305)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0.201 (0.170 to 0.233)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0.162 (0.132 to 0.196)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0.167 (0.140 to 0.198)</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Pure-mode image, standard deviation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0.053 (0.041 to 0.069)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0.058 (0.050 to 0.065)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0.052 (0.045 to 0.059)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0.048 (0.041 to 0.056)</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1 (finest) energy</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0.0007 (0.0004 to 0.0011)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0.0009 (0.0006 to 0.0012)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0.0008 (0.0005 to 0.0010)</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0.0006 (0.0004 to 0.0009)</w:t>
            </w:r>
          </w:p>
        </w:tc>
      </w:tr>
      <w:tr>
        <w:tc>
          <w:tcPr>
            <w:tcW w:type="dxa" w:w="27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4 (coarsest) energy</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(0.0012 to 0.0031)</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(0.0014 to 0.0025)</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(0.0013 to 0.0026)</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0.0016 (0.0012 to 0.0021)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14.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ybrid diffusion (30 iter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hybrid diffusion (30 iterations), and the absolute difference between input and hybrid diffusion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00375"/>
            <wp:effectExtent t="0" r="0" b="0" l="0"/>
            <wp:docPr id="1" name="fig6" descr="Stage 3, hybrid-diffusion edge indicator. Top: luminance of one image per class. Bottom: the edge indicator 1 - mean diffusivity of the denoised image (0 in flat regions, close to 1 across strong edg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003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hybrid-diffusion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response, Laplacian-of-Gaussian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response, Laplacian-of-Gaussian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ensemble mode decomposition and pure-mode selection for the luminance of WBC-Malignant-Early-025. The four intrinsic mode functions are ordered from fine to coarse; the title of each 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ensemble mode decomposition and pure-mode selection for the luminance of WBC-Malignant-Early-025. The four intrinsic mode functions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xpected calib"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expected calibration error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4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14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distributed stochastic neighbour embedding projection of the image embeddings of the frozen headline encoder (mean over the cells of an image, after reduction to 50 principal compon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t-distributed stochastic neighbour embedding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central processor; fine-tuning of the encoder and a comparison of encoders on a graphics processor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pure-mode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14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central processor.</w:t>
      </w:r>
    </w:p>
    <w:p>
      <w:pPr>
        <w:spacing w:line="480" w:lineRule="auto"/>
        <w:ind w:firstLine="0"/>
        <w:jc w:val="left"/>
      </w:pPr>
      <w:r>
        <w:rPr>
          <w:rFonts w:ascii="Times New Roman" w:cs="Times New Roman" w:eastAsia="Times New Roman" w:hAnsi="Times New Roman"/>
        </w:rPr>
        <w:t xml:space="preserve">Eight graphics-processor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central processor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central processor).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0fcd3cf6005b81d7036b0457f657fa67a47f0942.png"/><Relationship Id="rId13" Type="http://schemas.openxmlformats.org/officeDocument/2006/relationships/image" Target="media/9476072cb6650b15b4f5dca259a9551df9ccc82c.png"/><Relationship Id="rId14" Type="http://schemas.openxmlformats.org/officeDocument/2006/relationships/image" Target="media/45793f5a9d55295bd0729e0f7100a2aa4fe25572.png"/><Relationship Id="rId15" Type="http://schemas.openxmlformats.org/officeDocument/2006/relationships/image" Target="media/1cd563aaaa301a8b7631aaa56300ca591bc07b0a.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2026-10-04T19:47:31.103Z</dcterms:created>
  <dcterms:modified xsi:type="dcterms:W3CDTF">2026-10-04T19:47:31.103Z</dcterms:modified>
</cp:coreProperties>
</file>

<file path=docProps/custom.xml><?xml version="1.0" encoding="utf-8"?>
<Properties xmlns="http://schemas.openxmlformats.org/officeDocument/2006/custom-properties" xmlns:vt="http://schemas.openxmlformats.org/officeDocument/2006/docPropsVTypes"/>
</file>