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XIV. Citation index</w:t>
      </w:r>
      <w:r>
        <w:rPr>
          <w:rFonts w:ascii="Times New Roman" w:cs="Times New Roman" w:eastAsia="Times New Roman" w:hAnsi="Times New Roman"/>
          <w:sz w:val="22"/>
          <w:szCs w:val="22"/>
        </w:rPr>
        <w:t xml:space="preserve">	127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XV. Reference verification record</w:t>
      </w:r>
      <w:r>
        <w:rPr>
          <w:rFonts w:ascii="Times New Roman" w:cs="Times New Roman" w:eastAsia="Times New Roman" w:hAnsi="Times New Roman"/>
          <w:sz w:val="22"/>
          <w:szCs w:val="22"/>
        </w:rPr>
        <w:t xml:space="preserve">	129</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Values of the stage outputs inside the segmented cells, by class: median and interquartile range.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Per-cell features by class: median and interquartile range.</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Fine-tuning and encoder comparison under the same five contiguous session-aware folds.</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A17. Citation index: reference, use in this paper and pages on which it is cited.</w:t>
      </w:r>
      <w:r>
        <w:rPr>
          <w:rFonts w:ascii="Times New Roman" w:cs="Times New Roman" w:eastAsia="Times New Roman" w:hAnsi="Times New Roman"/>
          <w:sz w:val="21"/>
          <w:szCs w:val="21"/>
        </w:rPr>
        <w:t xml:space="preserve">	127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A18. Reference verification record.</w:t>
      </w:r>
      <w:r>
        <w:rPr>
          <w:rFonts w:ascii="Times New Roman" w:cs="Times New Roman" w:eastAsia="Times New Roman" w:hAnsi="Times New Roman"/>
          <w:sz w:val="21"/>
          <w:szCs w:val="21"/>
        </w:rPr>
        <w:t xml:space="preserve">	129</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78</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12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12),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11).</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13),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13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14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4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14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14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9630-9640.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SMC-3(6):610-621.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 MICCAI 2024. Cham: Springer. p 520-530.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and the scikit-image contributors.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p>
      <w:r>
        <w:br w:type="page"/>
      </w:r>
    </w:p>
    <w:p>
      <w:pPr>
        <w:keepNext/>
        <w:spacing w:line="480" w:lineRule="auto"/>
        <w:jc w:val="center"/>
      </w:pPr>
      <w:r>
        <w:rPr>
          <w:rFonts w:ascii="Times New Roman" w:cs="Times New Roman" w:eastAsia="Times New Roman" w:hAnsi="Times New Roman"/>
          <w:b/>
          <w:bCs/>
        </w:rPr>
        <w:t xml:space="preserve">APPENDIX XIV. CITATION INDEX</w:t>
      </w:r>
    </w:p>
    <w:p>
      <w:pPr>
        <w:spacing w:line="480" w:lineRule="auto"/>
        <w:ind w:firstLine="0"/>
        <w:jc w:val="left"/>
      </w:pPr>
      <w:r>
        <w:rPr>
          <w:rFonts w:ascii="Times New Roman" w:cs="Times New Roman" w:eastAsia="Times New Roman" w:hAnsi="Times New Roman"/>
        </w:rPr>
        <w:t xml:space="preserve">The citations follow the name-year style of the guide: one or two authors are named, three or more are given as the first author and "et al.", several citations in one parenthesis are separated by semicolons, and the full reference is in Literature Cited, in alphabetical order with a hanging indent. Table A17 lists every reference that is cited, what it is cited for in this paper, and the pages of the paper on which it is cited. The 7 sources that were consulted but are not cited are not listed in Literature Cited.</w:t>
      </w:r>
    </w:p>
    <w:p>
      <w:pPr>
        <w:keepNext/>
        <w:spacing w:after="120" w:before="240" w:line="240" w:lineRule="auto"/>
        <w:jc w:val="left"/>
      </w:pPr>
      <w:r>
        <w:rPr>
          <w:rFonts w:ascii="Times New Roman" w:cs="Times New Roman" w:eastAsia="Times New Roman" w:hAnsi="Times New Roman"/>
          <w:sz w:val="22"/>
          <w:szCs w:val="22"/>
        </w:rPr>
        <w:t xml:space="preserve">Table A17. </w:t>
      </w:r>
      <w:r>
        <w:rPr>
          <w:rFonts w:ascii="Times New Roman" w:cs="Times New Roman" w:eastAsia="Times New Roman" w:hAnsi="Times New Roman"/>
          <w:sz w:val="22"/>
          <w:szCs w:val="22"/>
        </w:rPr>
        <w:t xml:space="preserve">Citation index: reference, use in this paper and pages on which it is cited.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4992"/>
        <w:gridCol w:w="166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49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Cited for</w:t>
            </w:r>
          </w:p>
        </w:tc>
        <w:tc>
          <w:tcPr>
            <w:tcW w:type="dxa" w:w="16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Sanity checks for saliency maps; basis of the model-randomisation test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12, 37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Leakage-aware benchmark for leukemia classification (related concern)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of acute leukemia (clinical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public dataset analysed in this study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OpenCV library used in the pipeline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Self-supervised vision transformers (background to DINOv2)</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learning in radiographic COVID-19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7, 12, 79</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Vision transformer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resampling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Multiscale vesselness filter (basis of the curvature layer)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Concept of shortcut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7, 12, 79</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Description of the dataset and its classes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 for calibration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texture features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10, 21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 convolutional network (ResNet)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adjustment for multiple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network weights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18, 26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Clinical background of childhood acute lymphoblastic leukemia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pooling over instances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 leakage and reproducibility in machine-learning-based science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7, 11, 82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 optimiser (basis of AdamW)</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 hematology foundation model (the encoder used)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Estimating accuracy by cross-validation and bootstrap</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Transferability of pretrained image models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Raabin-WBC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Deep convolutional networks for image classification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Classical image analysis of leukemia smears (ALL-IDB)</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optimiser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Stain-separation colour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Single-cell blast recognition (myeloid) with convolutional networks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Watershed segmentation of touching cells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C-NMC challenge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Corrected resampled t test for cross-validation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 self-supervised vision transformer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threshold selection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Survey of transfer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PyTorch deep-learning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scikit-learn library (random forest, logistic regression)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Anisotropic diffusion (basis of the hybrid diffusion)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 normalisation by matching channel statistics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Blocked cross-validation for dependent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flaws in COVID-19 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U-Net segmentation network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StarDist cell detection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Grad-CAM saliency maps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performance measures (balanced accuracy)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Cellpose segmentation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Effect of stain normalisation and augmentation on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Bilateral filtering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14, 19</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Structure-preserving stain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scikit-image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failures in medical-imaging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Transformer architecture and attention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49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timm library of image models</w:t>
            </w:r>
          </w:p>
        </w:tc>
        <w:tc>
          <w:tcPr>
            <w:tcW w:type="dxa" w:w="16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bl>
    <w:p>
      <w:r>
        <w:br w:type="page"/>
      </w:r>
    </w:p>
    <w:p>
      <w:pPr>
        <w:keepNext/>
        <w:spacing w:line="480" w:lineRule="auto"/>
        <w:jc w:val="center"/>
      </w:pPr>
      <w:r>
        <w:rPr>
          <w:rFonts w:ascii="Times New Roman" w:cs="Times New Roman" w:eastAsia="Times New Roman" w:hAnsi="Times New Roman"/>
          <w:b/>
          <w:bCs/>
        </w:rPr>
        <w:t xml:space="preserve">APPENDIX XV. REFERENCE VERIFICATION RECORD</w:t>
      </w:r>
    </w:p>
    <w:p>
      <w:pPr>
        <w:spacing w:line="480" w:lineRule="auto"/>
        <w:ind w:firstLine="0"/>
        <w:jc w:val="left"/>
      </w:pPr>
      <w:r>
        <w:rPr>
          <w:rFonts w:ascii="Times New Roman" w:cs="Times New Roman" w:eastAsia="Times New Roman" w:hAnsi="Times New Roman"/>
        </w:rPr>
        <w:t xml:space="preserve">Every reference was compared with an external record on 4 October 2026: author list, year, title, venue, volume and pages. Table A18 gives the identifier of the record and the source that was used. "Crossref" means the DOI registration agency's record; "proceedings page" means the publisher page of the conference; "arXiv" means the preprint page. Entries marked "not verified online" are standard citations whose metadata could not be reached from the computing environment and should be checked against the original source.</w:t>
      </w:r>
    </w:p>
    <w:p>
      <w:pPr>
        <w:keepNext/>
        <w:spacing w:after="120" w:before="240" w:line="240" w:lineRule="auto"/>
        <w:jc w:val="left"/>
      </w:pPr>
      <w:r>
        <w:rPr>
          <w:rFonts w:ascii="Times New Roman" w:cs="Times New Roman" w:eastAsia="Times New Roman" w:hAnsi="Times New Roman"/>
          <w:sz w:val="22"/>
          <w:szCs w:val="22"/>
        </w:rPr>
        <w:t xml:space="preserve">Table A18. </w:t>
      </w:r>
      <w:r>
        <w:rPr>
          <w:rFonts w:ascii="Times New Roman" w:cs="Times New Roman" w:eastAsia="Times New Roman" w:hAnsi="Times New Roman"/>
          <w:sz w:val="22"/>
          <w:szCs w:val="22"/>
        </w:rPr>
        <w:t xml:space="preserve">Reference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3952"/>
        <w:gridCol w:w="270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39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Identifier</w:t>
            </w:r>
          </w:p>
        </w:tc>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Verified against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doi:10.1007/978-3-031-16564-1_17</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arXiv:2606.24944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doi:10.1182/blood-2016-03-643544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doi:10.34740/KAGGLE/DSV/2175623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Kaggle dataset page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Dr. Dobb's Journal 25(11)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doi:10.1109/iccv48922.2021.00951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doi:10.1101/2020.09.13.20193565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arXiv:2010.11929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doi:10.1214/aos/1176344552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doi:10.1007/bfb0056195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doi:10.1038/s42256-020-00257-z</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doi:10.1002/int.22753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doi:10.1109/tsmc.1973.4309314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doi:10.1109/cvpr.2016.90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JSTOR 4615733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arXiv:2106.09685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doi:10.1056/NEJMra1400972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doi:10.1016/j.patter.2023.100804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arXiv:1412.6980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doi:10.1007/978-3-031-72390-2_49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1995 proceedings</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PDF (7 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(openaccess.thecvf.com)</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doi:10.1038/s41598-021-04426-x</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doi:10.1145/3065386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doi:10.1109/icip.2011.6115881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arXiv:1711.05101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doi:10.1109/isbi.2009.5193250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doi:10.1038/s42256-019-0101-9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doi:10.1016/1047-3203(90)90014-M</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doi:10.7937/TCIA.2019.DC64I46R</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TCIA DOI (search result)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doi:10.1023/a:1024068626366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arXiv:2304.07193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doi:10.1109/tsmc.1979.4310076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doi:10.1109/TKDE.2009.191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(proceedings.neurips.cc)</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(jmlr.org)</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doi:10.1109/34.56205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doi:10.1109/38.946629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doi:10.1111/ecog.02881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doi:10.1038/s42256-021-00307-0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 (authors shortened)</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doi:10.1007/978-3-319-24574-4_28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doi:10.1007/978-3-030-00934-2_30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doi:10.1109/iccv.2017.74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doi:10.1016/j.ipm.2009.03.002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doi:10.1101/2020.02.02.931238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doi:10.1007/978-981-96-1747-0_1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doi:10.1016/j.media.2019.101544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doi:10.1109/iccv.1998.710815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doi:10.1109/tmi.2016.2529665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doi:10.7287/peerj.preprints.336v1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doi:10.1038/s41746-022-00592-y</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doi:10.65215/r5bs2d54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39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doi:10.5281/zenodo.4414861</w:t>
            </w:r>
          </w:p>
        </w:tc>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Zenodo DOI</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2026-10-04T20:30:25.084Z</dcterms:created>
  <dcterms:modified xsi:type="dcterms:W3CDTF">2026-10-04T20:30:25.084Z</dcterms:modified>
</cp:coreProperties>
</file>

<file path=docProps/custom.xml><?xml version="1.0" encoding="utf-8"?>
<Properties xmlns="http://schemas.openxmlformats.org/officeDocument/2006/custom-properties" xmlns:vt="http://schemas.openxmlformats.org/officeDocument/2006/docPropsVTypes"/>
</file>