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and keeping the background raised the accuracy of the same model to 0.978. Random block folds overestimated accuracy relative to contiguous folds, and removing training images that were close in capture number to the test images lowered accuracy more than removing the same number at random. Because each class was imaged in separate sessions, in-dataset accuracy is an upper bound on performance on new patients.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 Matek et al. 2019).</w:t>
      </w:r>
    </w:p>
    <w:p>
      <w:pPr>
        <w:spacing w:line="480" w:lineRule="auto"/>
        <w:ind w:firstLine="720"/>
        <w:jc w:val="left"/>
      </w:pPr>
      <w:r>
        <w:rPr>
          <w:rFonts w:ascii="Times New Roman" w:cs="Times New Roman" w:eastAsia="Times New Roman" w:hAnsi="Times New Roman"/>
        </w:rPr>
        <w:t xml:space="preserve">Public datasets have made this research possible, and the reported accuracies are very high.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The general problem of shortcut learning (Geirhos et al. 2020) has led to spurious predictors being found in radiographic classifiers (DeGrave et al. 2021) and has been described as a leading cause of leakage-driven overoptimism in machine-learning-based science (Kapoor and Narayanan 2023). A recent benchmark for leukemia classification reports the same concern (Albzour 2026).</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the file numbering, however, preserves the order of image capture, and that this order is informative about both the class and the appearance of neighbouring images.</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linear classifier on frozen features of such a model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all of which are supported by result files released with the code.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the strictest protocol that the data permit?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so that they could never be separated by a split.</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five stages to each image.</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did not remove noise (Table 2). My version normalises the diffusivity to at most 1, restricts the time step to 0.25 or less, and adds a fidelity term, which makes the iteration bounded; a test with 3000 iterations confirmed that the output stays finite and inside the input range. The benchmark in Table 2 uses synthetic Gaussian noise added to the dataset images.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grey fill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session-aware folds. If a quantity that contains no information about the cells predicts the class far above chance (0.25), the dataset contains a shortcut. The audit is also applied to the neutralised images, where background and corner probes must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feature distance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was fixed before modelling and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pooling and classification layers were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Every number in this paper is read from a result file in the repository by the script that builds the manuscript.</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at most 0.25,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b* values of a and b are subtracted from the corresponding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GPU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to zero (Fig. 4c).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AUROC is the macro average of one-vs-rest areas under the receiver operating characteristic computed from the rank statistic. The expected calibration error (ECE)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CPU.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CPU, and the associated risks are stated in the Discussion.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5.</w:t>
      </w:r>
    </w:p>
    <w:p>
      <w:pPr>
        <w:spacing w:line="480" w:lineRule="auto"/>
        <w:ind w:firstLine="720"/>
        <w:jc w:val="left"/>
      </w:pPr>
      <w:r>
        <w:rPr>
          <w:rFonts w:ascii="Times New Roman" w:cs="Times New Roman" w:eastAsia="Times New Roman" w:hAnsi="Times New Roman"/>
        </w:rPr>
        <w:t xml:space="preserve">For synthetic noise with a standard deviation of 0.05-0.12, the stabilised diffusion improved the peak signal-to-noise ratio by 12.3 dB on average, comparable with bilateral filtering (11.2 dB) and above Gaussian smoothing (4.1 dB), whereas the original scheme made the image worse (-17.2 dB; Table 2, Fig. 6). Stabilised diffusion removed more texture than bilateral filtering did (correlation with the noisy image's texture 0.37 versus 0.29, from 0.50 for the noisy input).</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3).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attribute to the small residual pattern left by the dilated mask at the image edge.</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3).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4, Fig. 7),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was poor before correction and good after: the uncalibrated expected calibration error was 0.121 on average over folds, and temperature scaling reduced the pooled value to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5 and Fig. 8 compare five inputs under the same protocol. Isolated cells with a neutral background (A) gave a balanced accuracy of 0.959 (95% CI 0.944-0.973). Removing stain colour (B, grayscale) lowered it by 0.018 (95% CI 0.010-0.027, Holm p = 0.004),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folds overestimate accuracy, and proximity is the cause</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6).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7, Fig. 9a).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8, Fig. 9b):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9 summarises the per-cell measurements for the 26202 cells that do not touch the border. Cell size differed between classes: the median area was 360 px for Benign, 486 for Early, 447 for Pre and 401 for Pro, with the Benign cells the smallest. Measures of the outline - aspect ratio, solidity and circularity - were close to identical in the four classes (for example, the median solidity was 0.95 to 0.96 in all of them), so that the shape of the outline of a segmented cell carries little class information in this dataset.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stands out from the other three in lightness and in both chromatic channels. Because the classes are not expected to differ so strongly in the colour of their cytoplasm and chromatin, and because the colour statistics were computed after stain normalisation, this pattern is consistent with the class-specific acquisition conditions that the shortcut audit detected. It cannot be separated from a true biological difference with these data.</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4).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4b),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ROC curve of the pooled out-of-fold probabilities was 0.996 for Benign, 0.995 for Early, 0.988 for Pre and 0.999 for Pro (Fig. 10a). The area under the precision-recall curve was 0.986, 0.984, 0.986 and 0.993 (Fig. 10b). The Pre class had the lowest area under the ROC curve although its precision-recall area was similar to that of the other classes, which indicates that it is confused with its neighbours in the ordering of the disease stages without being poorly ranked overall.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expected calibration error averaged 0.121 over folds, and the fitted temperature was below 1 in every fold (range 0.24-0.55). After scaling, the pooled error was 0.010 (Fig. 11a). The median confidence was 0.998 for correct and 0.811 for incorrect predictions (Fig. 11b), so the confidence can be used to flag uncertain images for review.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12a). Images in which the pipeline found one to three cells were classified correctly in 87.4% of cases (n = 294), against 98.4% for six to eight cells (n = 929) and 98.6% for nine to twelve (n = 565). Images with few cells provide the model with little evidence, and some of them may contain cells that the segmentation missed; I did not check this image by image. The largest attention weight of an image had a median of 0.24, which is about 1.9 times the weight that uniform attention would give (Fig. 12b),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The errors were concentrated between neighbouring stages. Of the 27 Early images that were misclassified, 14 were called Benign, 7 Pre and 6 Pro. Of the 41 misclassified Pre images, 10 were called Benign, 16 Early and 15 Pro. Benign images were called Early (9), Pre (10) or Pro (1) in 20 cases, and 16 of 804 Pro images were misclassified. Because the dataset labels the stages of a continuous maturation process, confusion between neighbouring stages is expected even for expert observers; I did not have access to a second reading of the images and cannot quantify human agreement.</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10 lists the results of the runs that have been completed.</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 13 shows the training curves of the adapted model and Fig. 14 compares the configurations with their intervals. The confusion matrix of the best configuration is shown in Fig. 15.</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Two further analyses address what the adapted models use. Attention weights over the cells of an image (Methods) indicate which cells drive the bag representation, and gradient-weighted class activation maps (Selvaraju et al. 2017) indicate which regions of a cell drive the score. Because saliency maps can look plausible for untrained networks, a model-randomisation check (Adebayo et al. 2018) is part of the protocol. Fig. 16 is reserved for the examples. A two-dimensional projection of the embeddings coloured by class and by capture segment (Fig. 17) addresses the question of whether the embedding encodes the session as strongly as the class.</w:t>
      </w:r>
    </w:p>
    <w:p>
      <w:pPr>
        <w:spacing w:line="480" w:lineRule="auto"/>
        <w:ind w:firstLine="720"/>
        <w:jc w:val="left"/>
      </w:pPr>
      <w:r>
        <w:rPr>
          <w:rFonts w:ascii="Times New Roman" w:cs="Times New Roman" w:eastAsia="Times New Roman" w:hAnsi="Times New Roman"/>
          <w:b/>
          <w:bCs/>
        </w:rPr>
        <w:t xml:space="preserve">[[GPU: after running scripts/analysis_xai.py on a checkpoint, describe in two to three paragraphs what the attention and saliency maps show, including at least one failure case; report the model-randomisation result. Delete this paragraph and the two figures above if the analysis is not performed.]]</w:t>
      </w:r>
    </w:p>
    <w:p>
      <w:r>
        <w:br w:type="page"/>
      </w:r>
    </w:p>
    <w:p>
      <w:pPr>
        <w:pageBreakBefore/>
        <w:spacing w:after="12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pageBreakBefore/>
        <w:spacing w:after="12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Shortcut audit: balanced accuracy of a random-forest classifier that sees only the named quantity, under 5-fold session-aware cross-validation (three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pageBreakBefore/>
        <w:spacing w:after="12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one unbroken stretch of capture numbers per class,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folds and two seeds;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(0.23-0.35)</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Fine-tuning and encoder comparison under the same five contiguous session-aware folds (embargo 37). Entries marked [[GPU]] are produced by the graphics-processor experiments and are inserted from the result files by the build script; the headline model is shown for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feature vectors of images with adjacent capture numbers (dark bars) and between random pairs from the same class (hatched bars). Adj"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feature vectors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848350" cy="2162175"/>
            <wp:effectExtent t="0" r="0" b="0" l="0"/>
            <wp:docPr id="1" name="fig4" descr="Training of the attention head (frozen DinoBloom-S) in each of the five folds. (a) Training loss (label-smoothed, class-weighted cross-entropy), (b) validation balanced accuracy and (c) learning rate "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114800"/>
            <wp:effectExtent t="0" r="0" b="0" l="0"/>
            <wp:docPr id="1" name="fig5" descr="Example images of the four classes (Benign, Early, Pre, Pro) of the dataset, 224 x 224 pixels as supplied. Differences in background colour and illumination between classes are visib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w:t>
      </w:r>
    </w:p>
    <w:p>
      <w:r>
        <w:br w:type="page"/>
      </w:r>
    </w:p>
    <w:p>
      <w:pPr>
        <w:pageBreakBefore/>
        <w:spacing w:after="160" w:line="240" w:lineRule="auto"/>
        <w:jc w:val="center"/>
      </w:pPr>
      <w:r>
        <w:drawing>
          <wp:inline distT="0" distB="0" distL="0" distR="0">
            <wp:extent cx="4210050" cy="2771775"/>
            <wp:effectExtent t="0" r="0" b="0" l="0"/>
            <wp:docPr id="1" name="fig6" descr="Denoising benchmark (peak signal-to-noise ratio, dB) on synthetic Gaussian noise; stabilised diffusion (solid circles) compared with the unmodified diffusion scheme (inverted triangles), bilateral 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7" descr="(a) Pooled out-of-fold confusion matrix (counts; shading shows row-normalised proportion) and (b) balanced accuracy of each of the five folds for the headline mode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8" descr="Balanced accuracy of the five input representations (A-E, defined in Table 5), with 95% cluster-bootstrap intervals over session groups. Contiguous folds, embargo 37."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Balanced accuracy of the five input representations (A-E, defined in Table 5),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9" descr="Dependence of accuracy on proximity in capture number. (a) Random-block folds: purging training images near the test images (solid) versus removing the same number of training images at random (dash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0" descr="Discrimination of each class from the other three on the pooled out-of-fold predictions. (a) Receiver operating characteristic curves and (b) precision-recall curves of the headline model, with the a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11" descr="Calibration of the temperature-scaled probabilities on the pooled out-of-fold predictions. (a) Reliability diagram: observed accuracy against mean confidence in ten confidence bins; the diagonal is p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12" descr="Dependence of the accuracy of the headline model on the number of cells that the pipeline found in the image. (a) Accuracy by number of cells per image (n above each bar is the number of images). (b) "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3105150"/>
            <wp:effectExtent t="0" r="0" b="0" l="0"/>
            <wp:docPr id="1" name="fig13" descr="**[PLACEHOLDER - replace before submission]** Training curves of the low-rank adaptation of DinoBloom-S (run g01). Expected content: for each fold, training loss and validation macro-F1 against epoch,"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105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b/>
          <w:bCs/>
          <w:sz w:val="22"/>
          <w:szCs w:val="22"/>
        </w:rPr>
        <w:t xml:space="preserve">[PLACEHOLDER - replace before submission]</w:t>
      </w:r>
      <w:r>
        <w:rPr>
          <w:rFonts w:ascii="Times New Roman" w:cs="Times New Roman" w:eastAsia="Times New Roman" w:hAnsi="Times New Roman"/>
          <w:sz w:val="22"/>
          <w:szCs w:val="22"/>
        </w:rPr>
        <w:t xml:space="preserve"> Training curves of the low-rank adaptation of DinoBloom-S (run g01). Expected content: for each fold, training loss and validation macro-F1 against epoch, with the epoch of the best validation score marked and the learning-rate schedule. Purpose: to show whether adaptation converges, overfits or stops early.</w:t>
      </w:r>
    </w:p>
    <w:p>
      <w:r>
        <w:br w:type="page"/>
      </w:r>
    </w:p>
    <w:p>
      <w:pPr>
        <w:pageBreakBefore/>
        <w:spacing w:after="160" w:line="240" w:lineRule="auto"/>
        <w:jc w:val="center"/>
      </w:pPr>
      <w:r>
        <w:drawing>
          <wp:inline distT="0" distB="0" distL="0" distR="0">
            <wp:extent cx="5305425" cy="2905125"/>
            <wp:effectExtent t="0" r="0" b="0" l="0"/>
            <wp:docPr id="1" name="fig14" descr="**[PLACEHOLDER - replace before submission]** Balanced accuracy of the fine-tuned configurations. Expected content: one marker per configuration of Table 10 with its 95% cluster-bootstrap interval, so"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29051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b/>
          <w:bCs/>
          <w:sz w:val="22"/>
          <w:szCs w:val="22"/>
        </w:rPr>
        <w:t xml:space="preserve">[PLACEHOLDER - replace before submission]</w:t>
      </w:r>
      <w:r>
        <w:rPr>
          <w:rFonts w:ascii="Times New Roman" w:cs="Times New Roman" w:eastAsia="Times New Roman" w:hAnsi="Times New Roman"/>
          <w:sz w:val="22"/>
          <w:szCs w:val="22"/>
        </w:rPr>
        <w:t xml:space="preserve"> Balanced accuracy of the fine-tuned configurations. Expected content: one marker per configuration of Table 10 with its 95% cluster-bootstrap interval, sorted by accuracy, with the frozen headline model as a reference line. Purpose: to show which differences exceed the sampling uncertainty.</w:t>
      </w:r>
    </w:p>
    <w:p>
      <w:r>
        <w:br w:type="page"/>
      </w:r>
    </w:p>
    <w:p>
      <w:pPr>
        <w:pageBreakBefore/>
        <w:spacing w:after="160" w:line="240" w:lineRule="auto"/>
        <w:jc w:val="center"/>
      </w:pPr>
      <w:r>
        <w:drawing>
          <wp:inline distT="0" distB="0" distL="0" distR="0">
            <wp:extent cx="4210050" cy="2305050"/>
            <wp:effectExtent t="0" r="0" b="0" l="0"/>
            <wp:docPr id="1" name="fig15" descr="**[PLACEHOLDER - replace before submission]** Confusion matrix of the best fine-tuned configuration. Expected content: pooled out-of-fold confusion matrix, as in Fig. 7a. Purpose: to show whether adap"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3050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b/>
          <w:bCs/>
          <w:sz w:val="22"/>
          <w:szCs w:val="22"/>
        </w:rPr>
        <w:t xml:space="preserve">[PLACEHOLDER - replace before submission]</w:t>
      </w:r>
      <w:r>
        <w:rPr>
          <w:rFonts w:ascii="Times New Roman" w:cs="Times New Roman" w:eastAsia="Times New Roman" w:hAnsi="Times New Roman"/>
          <w:sz w:val="22"/>
          <w:szCs w:val="22"/>
        </w:rPr>
        <w:t xml:space="preserve"> Confusion matrix of the best fine-tuned configuration. Expected content: pooled out-of-fold confusion matrix, as in Fig. 7a. Purpose: to show whether adaptation changes which classes are confused.</w:t>
      </w:r>
    </w:p>
    <w:p>
      <w:r>
        <w:br w:type="page"/>
      </w:r>
    </w:p>
    <w:p>
      <w:pPr>
        <w:pageBreakBefore/>
        <w:spacing w:after="160" w:line="240" w:lineRule="auto"/>
        <w:jc w:val="center"/>
      </w:pPr>
      <w:r>
        <w:drawing>
          <wp:inline distT="0" distB="0" distL="0" distR="0">
            <wp:extent cx="5667375" cy="3105150"/>
            <wp:effectExtent t="0" r="0" b="0" l="0"/>
            <wp:docPr id="1" name="fig16" descr="**[PLACEHOLDER - replace before submission]** Attention weights and saliency maps for correctly and incorrectly classified images. Expected content: for each class, example images with the attention w"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105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b/>
          <w:bCs/>
          <w:sz w:val="22"/>
          <w:szCs w:val="22"/>
        </w:rPr>
        <w:t xml:space="preserve">[PLACEHOLDER - replace before submission]</w:t>
      </w:r>
      <w:r>
        <w:rPr>
          <w:rFonts w:ascii="Times New Roman" w:cs="Times New Roman" w:eastAsia="Times New Roman" w:hAnsi="Times New Roman"/>
          <w:sz w:val="22"/>
          <w:szCs w:val="22"/>
        </w:rPr>
        <w:t xml:space="preserve"> Attention weights and saliency maps for correctly and incorrectly classified images. Expected content: for each class, example images with the attention weight of each cell and a Grad-CAM map, for one correct and one incorrect prediction, with a sanity check in which the model weights are randomised. Purpose: to show where the model looks and whether it looks at cells or at the periphery.</w:t>
      </w:r>
    </w:p>
    <w:p>
      <w:r>
        <w:br w:type="page"/>
      </w:r>
    </w:p>
    <w:p>
      <w:pPr>
        <w:pageBreakBefore/>
        <w:spacing w:after="160" w:line="240" w:lineRule="auto"/>
        <w:jc w:val="center"/>
      </w:pPr>
      <w:r>
        <w:drawing>
          <wp:inline distT="0" distB="0" distL="0" distR="0">
            <wp:extent cx="5486400" cy="3009900"/>
            <wp:effectExtent t="0" r="0" b="0" l="0"/>
            <wp:docPr id="1" name="fig17" descr="**[PLACEHOLDER - replace before submission]** Projection of the image embeddings. Expected content: a two-dimensional projection of the pooled embeddings of the test images, coloured by class in one p"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0099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b/>
          <w:bCs/>
          <w:sz w:val="22"/>
          <w:szCs w:val="22"/>
        </w:rPr>
        <w:t xml:space="preserve">[PLACEHOLDER - replace before submission]</w:t>
      </w:r>
      <w:r>
        <w:rPr>
          <w:rFonts w:ascii="Times New Roman" w:cs="Times New Roman" w:eastAsia="Times New Roman" w:hAnsi="Times New Roman"/>
          <w:sz w:val="22"/>
          <w:szCs w:val="22"/>
        </w:rPr>
        <w:t xml:space="preserve"> Projection of the image embeddings. Expected content: a two-dimensional projection of the pooled embeddings of the test images, coloured by class in one panel and by capture-number segment in the other. Purpose: to show whether the embedding separates capture sessions as strongly as it separates classes.</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5).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strongest cue, but the colour of the cells remained informative about the class (Table 3), as it would be if the stain differed between sessions and also if the diseases differ in cytoplasmic staining. The accuracy reported here should therefore be read as an upper bound for new patients and new laboratories.</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preprocessing is useful but it is not what limits accuracy here. The shortcut-neutralised input reduced accuracy relative to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upper bound for deployment,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few trainable parameters; the folds that the model fits are therefore unlikely to be overfitted in the usual sense, and the lack of overfitting is consistent with the stability of the per-fold results (standard deviation 0.019). Second, the high accuracy extends to the hand-made features only partially (0.825), which shows that the encoder contains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Studies that report evaluation on public leukemia datasets typically use random splits of images and report accuracy; the protocol of the present study is stricter,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is likely to fail on images from a laboratory with different staining or imaging, and, worse, it would give no warning.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Expected effect of 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10 and Fig. 14.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upper bound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from which the pooled numbers in the main text are computed.</w:t>
      </w:r>
    </w:p>
    <w:p>
      <w:pPr>
        <w:pageBreakBefore/>
        <w:spacing w:after="12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pageBreakBefore/>
        <w:spacing w:after="12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pageBreakBefore/>
        <w:spacing w:after="12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pageBreakBefore/>
        <w:spacing w:after="12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5 was first computed with random-block folds. These results are kept because they show the size of the inflation; they are not used as evidence of performance.</w:t>
      </w:r>
    </w:p>
    <w:p>
      <w:pPr>
        <w:pageBreakBefore/>
        <w:spacing w:after="12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pageBreakBefore/>
        <w:spacing w:after="12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pageBreakBefore/>
        <w:spacing w:after="12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pageBreakBefore/>
        <w:spacing w:after="12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pageBreakBefore/>
        <w:spacing w:after="12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pageBreakBefore/>
        <w:spacing w:after="12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pageBreakBefore/>
        <w:spacing w:after="12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pageBreakBefore/>
        <w:spacing w:after="12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pageBreakBefore/>
        <w:spacing w:after="12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pageBreakBefore/>
        <w:spacing w:after="12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pageBreakBefore/>
        <w:spacing w:after="12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CPU).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pageBreakBefore/>
        <w:spacing w:after="12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6, 7, 8).</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9ad8151d8615cbc5846e7d6337cad153b122b7c7.png"/><Relationship Id="rId12" Type="http://schemas.openxmlformats.org/officeDocument/2006/relationships/image" Target="media/2998a6c83b69d8b5258eb719ae77039e666e36fe.png"/><Relationship Id="rId13" Type="http://schemas.openxmlformats.org/officeDocument/2006/relationships/image" Target="media/94277fd58336d49a4d7b620488da13f3289881c0.png"/><Relationship Id="rId14" Type="http://schemas.openxmlformats.org/officeDocument/2006/relationships/image" Target="media/3b4ad935bc3cb50314790ca8ae6aa1223d6b4a8f.png"/><Relationship Id="rId15" Type="http://schemas.openxmlformats.org/officeDocument/2006/relationships/image" Target="media/49db3754709662de87c581688340fa7d8f6c3752.png"/><Relationship Id="rId16" Type="http://schemas.openxmlformats.org/officeDocument/2006/relationships/image" Target="media/ad213268fc7f90906db286adfd756ad74bfe231b.png"/><Relationship Id="rId17" Type="http://schemas.openxmlformats.org/officeDocument/2006/relationships/image" Target="media/3b04e2798ddb1608b40a75aa394cde5713d02e3b.png"/><Relationship Id="rId18" Type="http://schemas.openxmlformats.org/officeDocument/2006/relationships/image" Target="media/6bca1a85a9966f354a1e183d4143c0ac6207cfd7.png"/><Relationship Id="rId19" Type="http://schemas.openxmlformats.org/officeDocument/2006/relationships/image" Target="media/2c4e9dcfe5bc65e845d279ad6c3f54695b365da2.png"/><Relationship Id="rId20" Type="http://schemas.openxmlformats.org/officeDocument/2006/relationships/image" Target="media/2cc64b9683aff57b34b15124a2a6eefec726f453.png"/><Relationship Id="rId21" Type="http://schemas.openxmlformats.org/officeDocument/2006/relationships/image" Target="media/1f48eea7dc148a2c0ea04cc578dc9a9290bb0a46.png"/><Relationship Id="rId22" Type="http://schemas.openxmlformats.org/officeDocument/2006/relationships/image" Target="media/baed58652cd9133669b876ac0d80da21cad41291.png"/><Relationship Id="rId23" Type="http://schemas.openxmlformats.org/officeDocument/2006/relationships/image" Target="media/35303490c401cded6160b02c401c47fb7d17125e.png"/><Relationship Id="rId24" Type="http://schemas.openxmlformats.org/officeDocument/2006/relationships/image" Target="media/b196004e6203c887658199acb6320c161f9881e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2026-10-04T18:50:56.698Z</dcterms:created>
  <dcterms:modified xsi:type="dcterms:W3CDTF">2026-10-04T18:50:56.698Z</dcterms:modified>
</cp:coreProperties>
</file>

<file path=docProps/custom.xml><?xml version="1.0" encoding="utf-8"?>
<Properties xmlns="http://schemas.openxmlformats.org/officeDocument/2006/custom-properties" xmlns:vt="http://schemas.openxmlformats.org/officeDocument/2006/docPropsVTypes"/>
</file>