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(ALL) is diagnosed in part from the appearance of lymphoblasts on peripheral blood smears, and many studies report near-perfect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CI 0.955-0.978) and a macro-F1 of 0.967. Background colour alone, however, predicted the class with a balanced accuracy of 0.823, and keeping the background raised the accuracy of the same model to 0.978. Random block folds overestimated accuracy relative to contiguous folds, and removing training images that were close in capture number to the test images lowered accuracy more than removing the same number at random. Because each class was imaged in separate sessions, in-dataset accuracy is an upper bound on performance on new patients.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(ALL) is the most common cancer of childhood and is characterised by the uncontrolled proliferation of immature lymphoid cells in the bone marrow and blood. Examination of a stained peripheral blood smear (PBS) is an inexpensive first step in diagnosis, but it depends on the availability of trained hematologists, and agreement between observers on the morphology of individual blasts is imperfect. Automated analysis of PBS images has therefore been studied for more than a decade, including classical image-processing pipelines (Labati et al. 2011) and, more recently, deep convolutional networks and vision transformers (Ghaderzadeh et al. 2022; Matek et al. 2019).</w:t>
      </w:r>
    </w:p>
    <w:p>
      <w:pPr>
        <w:spacing w:line="480" w:lineRule="auto"/>
        <w:ind w:firstLine="720"/>
        <w:jc w:val="left"/>
      </w:pPr>
      <w:r>
        <w:rPr>
          <w:rFonts w:ascii="Times New Roman" w:cs="Times New Roman" w:eastAsia="Times New Roman" w:hAnsi="Times New Roman"/>
        </w:rPr>
        <w:t xml:space="preserve">Public datasets have made this research possible, and the reported accuracies are very high; accuracies above 0.99 on the four-class problem studied here are common.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The general problem of shortcut learning (Geirhos et al. 2020) has led to spurious predictors being found in radiographic classifiers (DeGrave et al. 2021) and has been described as a leading cause of leakage-driven overoptimism in machine-learning-based science (Kapoor and Narayanan 2023). A recent benchmark for leukemia classification reports the same concern (Albzour 2026).</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the file numbering, however, preserves the order of image capture, and that this order is informative about both the class and the appearance of neighbouring images.</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linear classifier on frozen features of such a model is a strong, cheap and well-defined baseline, and is the model used for the headline result in this paper.</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the strictest protocol that the data permit?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RGB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so that they could never be separated by a split.</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five stages to each image.</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(HDS) that combines Perona-Malik anisotropic diffusion (Perona and Malik 1990) with total-variation regularisation. The original repository implemented the diffusion without a bound on the diffusivity, and the result did not remove noise (Table 2). My version normalises the diffusivity to at most 1, restricts the time step to 0.25 or less, and adds a fidelity term, which makes the iteration bounded; a test with 3000 iterations confirmed that the output stays finite and inside the input range. The benchmark in Table 2 uses synthetic Gaussian noise added to the dataset images.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(LoG) response with scale normalisation, a Canny edge map, and an adaptive principal-curvature response (APC),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grey fill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session-aware folds. If a quantity that contains no information about the cells predicts the class far above chance (0.25), the dataset contains a shortcut. The audit is also applied to the neutralised images, where background and corner probes must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feature distance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was fixed before modelling and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pooling and classification layers were trained (AdamW (Loshchilov and Hutter 2019), learning rate 0.001, batch size 16, at most 30 epochs, early stopping with patience 8 on validation balanced accuracy,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CPU only, with Python 3.11, PyTorch (Paszke et al. 2019) 2.14, scikit-learn 1.9, OpenCV (Bradski 2000) and scikit-image. The code is covered by 189 automated tests. The pipeline configuration hash of the run reported here is 9136b9beac982264; the model configuration hash is 5e8dd4b86e31ac7c. Every number in this paper is read from a result file in the repository by the script that builds the manuscript.</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CPU.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4.</w:t>
      </w:r>
    </w:p>
    <w:p>
      <w:pPr>
        <w:spacing w:line="480" w:lineRule="auto"/>
        <w:ind w:firstLine="720"/>
        <w:jc w:val="left"/>
      </w:pPr>
      <w:r>
        <w:rPr>
          <w:rFonts w:ascii="Times New Roman" w:cs="Times New Roman" w:eastAsia="Times New Roman" w:hAnsi="Times New Roman"/>
        </w:rPr>
        <w:t xml:space="preserve">For synthetic noise with a standard deviation of 0.05-0.12, the stabilised diffusion improved the peak signal-to-noise ratio by 12.3 dB on average, comparable with bilateral filtering (11.2 dB) and above Gaussian smoothing (4.1 dB), whereas the original scheme made the image worse (-17.2 dB; Table 2, Fig. 5). Stabilised diffusion removed more texture than bilateral filtering did (correlation with the noisy image's texture 0.37 versus 0.29, from 0.50 for the noisy input).</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3).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attribute to the small residual pattern left by the dilated mask at the image edge.</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3).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4, Fig. 6), the pooled out-of-fold balanced accuracy was 0.968 (95% CI 0.955-0.978) and the macro-F1 was 0.967 (95% CI 0.950-0.978). The AUROC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CPU.</w:t>
      </w:r>
    </w:p>
    <w:p>
      <w:pPr>
        <w:spacing w:line="480" w:lineRule="auto"/>
        <w:ind w:firstLine="720"/>
        <w:jc w:val="left"/>
      </w:pPr>
      <w:r>
        <w:rPr>
          <w:rFonts w:ascii="Times New Roman" w:cs="Times New Roman" w:eastAsia="Times New Roman" w:hAnsi="Times New Roman"/>
        </w:rPr>
        <w:t xml:space="preserve">Calibration was poor before correction and good after: the uncalibrated expected calibration error was 0.121 on average over folds, and temperature scaling reduced the pooled value to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5 and Fig. 7 compare five inputs under the same protocol. Isolated cells with a neutral background (A) gave a balanced accuracy of 0.959 (95% CI 0.944-0.973). Removing stain colour (B, grayscale) lowered it by 0.018 (95% CI 0.010-0.027, Holm p = 0.004),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folds overestimate accuracy, and proximity is the cause</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6).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7, Fig. 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8, Fig. 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r>
        <w:br w:type="page"/>
      </w:r>
    </w:p>
    <w:p>
      <w:pPr>
        <w:pageBreakBefore/>
        <w:spacing w:after="12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SD)</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(px)</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Denoising benchmark on synthetic Gaussian noise (peak signal-to-noise ratio in dB, higher is better). "Legacy HDS" is the diffusion scheme of the original repository; "stabilised HDS"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SD</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Legacy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legacy HDS -17.2 dB, stabilised HDS +12.3 dB, bilateral +11.2 dB, Gaussian +4.1 dB.</w:t>
      </w:r>
    </w:p>
    <w:p>
      <w:r>
        <w:br w:type="page"/>
      </w:r>
    </w:p>
    <w:p>
      <w:pPr>
        <w:pageBreakBefore/>
        <w:spacing w:after="12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Shortcut audit: balanced accuracy of a random-forest classifier that sees only the named quantity, under 5-fold session-aware cross-validation (three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SD</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ECE: expected calibration error.</w:t>
      </w:r>
    </w:p>
    <w:p>
      <w:r>
        <w:br w:type="page"/>
      </w:r>
    </w:p>
    <w:p>
      <w:pPr>
        <w:pageBreakBefore/>
        <w:spacing w:after="12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CI)</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one unbroken stretch of capture numbers per class,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folds and two seeds; single run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feature vectors of images with adjacent capture numbers (dark bars) and between random pairs from the same class (hatched bars). Adj"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feature vectors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486400" cy="4114800"/>
            <wp:effectExtent t="0" r="0" b="0" l="0"/>
            <wp:docPr id="1" name="fig4" descr="Example images of the four classes (Benign, Early, Pre, Pro) of the dataset, 224 x 224 pixels as supplied. Differences in background colour and illumination between classes are visibl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1148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w:t>
      </w:r>
    </w:p>
    <w:p>
      <w:r>
        <w:br w:type="page"/>
      </w:r>
    </w:p>
    <w:p>
      <w:pPr>
        <w:pageBreakBefore/>
        <w:spacing w:after="160" w:line="240" w:lineRule="auto"/>
        <w:jc w:val="center"/>
      </w:pPr>
      <w:r>
        <w:drawing>
          <wp:inline distT="0" distB="0" distL="0" distR="0">
            <wp:extent cx="4210050" cy="2771775"/>
            <wp:effectExtent t="0" r="0" b="0" l="0"/>
            <wp:docPr id="1" name="fig5" descr="Denoising benchmark (peak signal-to-noise ratio, dB) on synthetic Gaussian noise; stabilised diffusion (solid circles) compared with the unmodified diffusion scheme (inverted triangles), bilateral an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6" descr="(a) Pooled out-of-fold confusion matrix (counts; shading shows row-normalised proportion) and (b) balanced accuracy of each of the five folds for the headline model."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7" descr="Balanced accuracy of the five input representations (A-E, defined in Table 5), with 95% cluster-bootstrap intervals over session groups. Contiguous folds, embargo 37."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Balanced accuracy of the five input representations (A-E, defined in Table 5),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8" descr="Dependence of accuracy on proximity in capture number. (a) Random-block folds: purging training images near the test images (solid) versus removing the same number of training images at random (dash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5).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strongest cue, but the colour of the cells remained informative about the class (Table 3), as it would be if the stain differed between sessions and also if the diseases differ in cytoplasmic staining. The accuracy reported here should therefore be read as an upper bound for new patients and new laboratories.</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preprocessing is useful but it is not what limits accuracy here. The shortcut-neutralised input reduced accuracy relative to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CPU; fine-tuning of the encoder and a comparison of encoders on a GPU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upper bound for deployment, and the evaluation design, not the model, is the main determinant of how far such a number can be trusted.</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from which the pooled numbers in the main text are computed.</w:t>
      </w:r>
    </w:p>
    <w:p>
      <w:pPr>
        <w:pageBreakBefore/>
        <w:spacing w:after="12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pageBreakBefore/>
        <w:spacing w:after="12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pageBreakBefore/>
        <w:spacing w:after="12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pageBreakBefore/>
        <w:spacing w:after="12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matrix of fold 1 (rows: true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bl>
    <w:p>
      <w:pPr>
        <w:pageBreakBefore/>
        <w:spacing w:after="12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Confusion matrix of fold 2 (rows: true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pPr>
        <w:pageBreakBefore/>
        <w:spacing w:after="12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Confusion matrix of fold 3 (rows: true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bl>
    <w:p>
      <w:pPr>
        <w:pageBreakBefore/>
        <w:spacing w:after="12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Confusion matrix of fold 4 (rows: true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bl>
    <w:p>
      <w:pPr>
        <w:pageBreakBefore/>
        <w:spacing w:after="12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Confusion matrix of fold 5 (rows: true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3 was first computed with random-block folds. These results are kept because they show the size of the inflation; they are not used as evidence of performance.</w:t>
      </w:r>
    </w:p>
    <w:p>
      <w:pPr>
        <w:pageBreakBefore/>
        <w:spacing w:after="12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pageBreakBefore/>
        <w:spacing w:after="12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CPU.</w:t>
      </w:r>
    </w:p>
    <w:p>
      <w:pPr>
        <w:spacing w:line="480" w:lineRule="auto"/>
        <w:ind w:firstLine="0"/>
        <w:jc w:val="left"/>
      </w:pPr>
      <w:r>
        <w:rPr>
          <w:rFonts w:ascii="Times New Roman" w:cs="Times New Roman" w:eastAsia="Times New Roman" w:hAnsi="Times New Roman"/>
        </w:rPr>
        <w:t xml:space="preserve">Eight GPU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CPU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2998a6c83b69d8b5258eb719ae77039e666e36fe.png"/><Relationship Id="rId12" Type="http://schemas.openxmlformats.org/officeDocument/2006/relationships/image" Target="media/94277fd58336d49a4d7b620488da13f3289881c0.png"/><Relationship Id="rId13" Type="http://schemas.openxmlformats.org/officeDocument/2006/relationships/image" Target="media/3b4ad935bc3cb50314790ca8ae6aa1223d6b4a8f.png"/><Relationship Id="rId14" Type="http://schemas.openxmlformats.org/officeDocument/2006/relationships/image" Target="media/49db3754709662de87c581688340fa7d8f6c3752.png"/><Relationship Id="rId15" Type="http://schemas.openxmlformats.org/officeDocument/2006/relationships/image" Target="media/ad213268fc7f90906db286adfd756ad74bfe231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2026-10-04T18:39:12.635Z</dcterms:created>
  <dcterms:modified xsi:type="dcterms:W3CDTF">2026-10-04T18:39:12.635Z</dcterms:modified>
</cp:coreProperties>
</file>

<file path=docProps/custom.xml><?xml version="1.0" encoding="utf-8"?>
<Properties xmlns="http://schemas.openxmlformats.org/officeDocument/2006/custom-properties" xmlns:vt="http://schemas.openxmlformats.org/officeDocument/2006/docPropsVTypes"/>
</file>