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5AA9" w14:textId="35A34BD7" w:rsidR="702151C3" w:rsidRDefault="26AC020D" w:rsidP="09617BC6">
      <w:pPr>
        <w:pStyle w:val="Title"/>
        <w:jc w:val="center"/>
        <w:rPr>
          <w:rFonts w:ascii="Times New Roman" w:eastAsia="Times New Roman" w:hAnsi="Times New Roman" w:cs="Times New Roman"/>
          <w:sz w:val="32"/>
          <w:szCs w:val="32"/>
        </w:rPr>
      </w:pPr>
      <w:r w:rsidRPr="09617BC6">
        <w:rPr>
          <w:rFonts w:ascii="Times New Roman" w:eastAsia="Times New Roman" w:hAnsi="Times New Roman" w:cs="Times New Roman"/>
          <w:sz w:val="32"/>
          <w:szCs w:val="32"/>
        </w:rPr>
        <w:t>Exploring a Market-Oriented Policy Architecture for Space-Based Solar Power (SBSP)</w:t>
      </w:r>
    </w:p>
    <w:p w14:paraId="7994D697" w14:textId="37BC4D00" w:rsidR="702151C3" w:rsidRDefault="2B54E147" w:rsidP="09617BC6">
      <w:pPr>
        <w:spacing w:line="240" w:lineRule="auto"/>
        <w:jc w:val="center"/>
        <w:rPr>
          <w:rFonts w:ascii="Times New Roman" w:eastAsia="Times New Roman" w:hAnsi="Times New Roman" w:cs="Times New Roman"/>
        </w:rPr>
      </w:pPr>
      <w:r w:rsidRPr="09617BC6">
        <w:rPr>
          <w:rFonts w:ascii="Times New Roman" w:eastAsia="Times New Roman" w:hAnsi="Times New Roman" w:cs="Times New Roman"/>
        </w:rPr>
        <w:t>Anna</w:t>
      </w:r>
      <w:r w:rsidR="005920A1">
        <w:rPr>
          <w:rFonts w:ascii="Times New Roman" w:eastAsia="Times New Roman" w:hAnsi="Times New Roman" w:cs="Times New Roman"/>
        </w:rPr>
        <w:t xml:space="preserve"> Ya</w:t>
      </w:r>
      <w:r w:rsidRPr="09617BC6">
        <w:rPr>
          <w:rFonts w:ascii="Times New Roman" w:eastAsia="Times New Roman" w:hAnsi="Times New Roman" w:cs="Times New Roman"/>
        </w:rPr>
        <w:t xml:space="preserve"> Ni</w:t>
      </w:r>
      <w:r w:rsidR="1FFC9BCE" w:rsidRPr="09617BC6">
        <w:rPr>
          <w:rFonts w:ascii="Times New Roman" w:eastAsia="Times New Roman" w:hAnsi="Times New Roman" w:cs="Times New Roman"/>
        </w:rPr>
        <w:t xml:space="preserve"> </w:t>
      </w:r>
      <w:r w:rsidR="1FFC9BCE" w:rsidRPr="09617BC6">
        <w:rPr>
          <w:rFonts w:ascii="Times New Roman" w:eastAsia="Times New Roman" w:hAnsi="Times New Roman" w:cs="Times New Roman"/>
          <w:vertAlign w:val="superscript"/>
        </w:rPr>
        <w:t>1</w:t>
      </w:r>
      <w:r w:rsidR="005920A1" w:rsidRPr="09617BC6">
        <w:rPr>
          <w:rFonts w:ascii="Times New Roman" w:eastAsia="Times New Roman" w:hAnsi="Times New Roman" w:cs="Times New Roman"/>
        </w:rPr>
        <w:t>*</w:t>
      </w:r>
      <w:r w:rsidR="009A7AA7">
        <w:rPr>
          <w:rFonts w:ascii="Times New Roman" w:eastAsia="Times New Roman" w:hAnsi="Times New Roman" w:cs="Times New Roman"/>
        </w:rPr>
        <w:t xml:space="preserve">, </w:t>
      </w:r>
      <w:r w:rsidR="009A7AA7" w:rsidRPr="09617BC6">
        <w:rPr>
          <w:rFonts w:ascii="Times New Roman" w:eastAsia="Times New Roman" w:hAnsi="Times New Roman" w:cs="Times New Roman"/>
        </w:rPr>
        <w:t>Shrishti</w:t>
      </w:r>
      <w:r w:rsidRPr="09617BC6">
        <w:rPr>
          <w:rFonts w:ascii="Times New Roman" w:eastAsia="Times New Roman" w:hAnsi="Times New Roman" w:cs="Times New Roman"/>
        </w:rPr>
        <w:t xml:space="preserve"> Sharma </w:t>
      </w:r>
      <w:r w:rsidRPr="09617BC6">
        <w:rPr>
          <w:rFonts w:ascii="Times New Roman" w:eastAsia="Times New Roman" w:hAnsi="Times New Roman" w:cs="Times New Roman"/>
          <w:vertAlign w:val="superscript"/>
        </w:rPr>
        <w:t>2</w:t>
      </w:r>
      <w:r w:rsidRPr="09617BC6">
        <w:rPr>
          <w:rFonts w:ascii="Times New Roman" w:eastAsia="Times New Roman" w:hAnsi="Times New Roman" w:cs="Times New Roman"/>
        </w:rPr>
        <w:t xml:space="preserve">, </w:t>
      </w:r>
      <w:r w:rsidR="00C805B0">
        <w:rPr>
          <w:rFonts w:ascii="Times New Roman" w:eastAsia="Times New Roman" w:hAnsi="Times New Roman" w:cs="Times New Roman"/>
        </w:rPr>
        <w:t>Caleb Ni</w:t>
      </w:r>
      <w:r w:rsidR="00F12C74">
        <w:rPr>
          <w:rFonts w:ascii="Times New Roman" w:eastAsia="Times New Roman" w:hAnsi="Times New Roman" w:cs="Times New Roman"/>
        </w:rPr>
        <w:t>³</w:t>
      </w:r>
    </w:p>
    <w:p w14:paraId="079A54B3" w14:textId="00235DA9" w:rsidR="702151C3" w:rsidRDefault="702151C3" w:rsidP="09617BC6">
      <w:pPr>
        <w:spacing w:line="240" w:lineRule="auto"/>
        <w:jc w:val="center"/>
        <w:rPr>
          <w:rFonts w:ascii="Times New Roman" w:eastAsia="Times New Roman" w:hAnsi="Times New Roman" w:cs="Times New Roman"/>
        </w:rPr>
      </w:pPr>
    </w:p>
    <w:p w14:paraId="5DDF36BE" w14:textId="055C9B10" w:rsidR="702151C3" w:rsidRDefault="30A9D318" w:rsidP="09617BC6">
      <w:pPr>
        <w:pStyle w:val="ListParagraph"/>
        <w:numPr>
          <w:ilvl w:val="0"/>
          <w:numId w:val="4"/>
        </w:numPr>
        <w:spacing w:line="240" w:lineRule="auto"/>
        <w:jc w:val="center"/>
        <w:rPr>
          <w:rFonts w:ascii="Times New Roman" w:eastAsia="Times New Roman" w:hAnsi="Times New Roman" w:cs="Times New Roman"/>
          <w:sz w:val="20"/>
          <w:szCs w:val="20"/>
        </w:rPr>
      </w:pPr>
      <w:r w:rsidRPr="09617BC6">
        <w:rPr>
          <w:rFonts w:ascii="Times New Roman" w:eastAsia="Times New Roman" w:hAnsi="Times New Roman" w:cs="Times New Roman"/>
          <w:sz w:val="20"/>
          <w:szCs w:val="20"/>
        </w:rPr>
        <w:t>California State University, San Bernardino, CA, 92407, USA;</w:t>
      </w:r>
      <w:r w:rsidR="00C67B4E">
        <w:rPr>
          <w:rFonts w:ascii="Times New Roman" w:eastAsia="Times New Roman" w:hAnsi="Times New Roman" w:cs="Times New Roman"/>
          <w:sz w:val="20"/>
          <w:szCs w:val="20"/>
        </w:rPr>
        <w:t xml:space="preserve"> </w:t>
      </w:r>
      <w:hyperlink r:id="rId8" w:history="1">
        <w:r w:rsidR="00C67B4E" w:rsidRPr="007A51D5">
          <w:rPr>
            <w:rStyle w:val="Hyperlink"/>
            <w:rFonts w:ascii="Times New Roman" w:eastAsia="Times New Roman" w:hAnsi="Times New Roman" w:cs="Times New Roman"/>
            <w:sz w:val="20"/>
            <w:szCs w:val="20"/>
          </w:rPr>
          <w:t>yni@csusb.edu</w:t>
        </w:r>
      </w:hyperlink>
      <w:r w:rsidR="00C67B4E">
        <w:rPr>
          <w:rFonts w:ascii="Times New Roman" w:eastAsia="Times New Roman" w:hAnsi="Times New Roman" w:cs="Times New Roman"/>
          <w:sz w:val="20"/>
          <w:szCs w:val="20"/>
        </w:rPr>
        <w:t xml:space="preserve"> </w:t>
      </w:r>
    </w:p>
    <w:p w14:paraId="048EA122" w14:textId="7605C61E" w:rsidR="702151C3" w:rsidRPr="00C805B0" w:rsidRDefault="30A9D318" w:rsidP="09617BC6">
      <w:pPr>
        <w:pStyle w:val="ListParagraph"/>
        <w:numPr>
          <w:ilvl w:val="0"/>
          <w:numId w:val="4"/>
        </w:numPr>
        <w:spacing w:line="240" w:lineRule="auto"/>
        <w:jc w:val="center"/>
        <w:rPr>
          <w:rFonts w:ascii="Times New Roman" w:eastAsia="Times New Roman" w:hAnsi="Times New Roman" w:cs="Times New Roman"/>
          <w:sz w:val="20"/>
          <w:szCs w:val="20"/>
        </w:rPr>
      </w:pPr>
      <w:r w:rsidRPr="09617BC6">
        <w:rPr>
          <w:rFonts w:ascii="Times New Roman" w:eastAsia="Times New Roman" w:hAnsi="Times New Roman" w:cs="Times New Roman"/>
          <w:sz w:val="20"/>
          <w:szCs w:val="20"/>
        </w:rPr>
        <w:t xml:space="preserve">California State University, San Bernardino, CA, 92407, USA; </w:t>
      </w:r>
      <w:hyperlink r:id="rId9">
        <w:r w:rsidRPr="09617BC6">
          <w:rPr>
            <w:rStyle w:val="Hyperlink"/>
            <w:rFonts w:ascii="Times New Roman" w:eastAsia="Times New Roman" w:hAnsi="Times New Roman" w:cs="Times New Roman"/>
            <w:sz w:val="20"/>
            <w:szCs w:val="20"/>
          </w:rPr>
          <w:t>shrishti.sharma@csusb.edu</w:t>
        </w:r>
      </w:hyperlink>
    </w:p>
    <w:p w14:paraId="1ABF845D" w14:textId="50E7DBC4" w:rsidR="00C805B0" w:rsidRDefault="00C805B0" w:rsidP="09617BC6">
      <w:pPr>
        <w:pStyle w:val="ListParagraph"/>
        <w:numPr>
          <w:ilvl w:val="0"/>
          <w:numId w:val="4"/>
        </w:numPr>
        <w:spacing w:line="240" w:lineRule="auto"/>
        <w:jc w:val="center"/>
        <w:rPr>
          <w:rFonts w:ascii="Times New Roman" w:eastAsia="Times New Roman" w:hAnsi="Times New Roman" w:cs="Times New Roman"/>
          <w:sz w:val="20"/>
          <w:szCs w:val="20"/>
        </w:rPr>
      </w:pPr>
      <w:r w:rsidRPr="00BB646F">
        <w:rPr>
          <w:rFonts w:ascii="Times New Roman" w:eastAsia="Times New Roman" w:hAnsi="Times New Roman" w:cs="Times New Roman"/>
          <w:sz w:val="20"/>
          <w:szCs w:val="20"/>
        </w:rPr>
        <w:t>Daw</w:t>
      </w:r>
      <w:r w:rsidR="00BB646F" w:rsidRPr="00BB646F">
        <w:rPr>
          <w:rFonts w:ascii="Times New Roman" w:eastAsia="Times New Roman" w:hAnsi="Times New Roman" w:cs="Times New Roman"/>
          <w:sz w:val="20"/>
          <w:szCs w:val="20"/>
        </w:rPr>
        <w:t xml:space="preserve">son High School, TX, 77584, USA; </w:t>
      </w:r>
      <w:hyperlink r:id="rId10" w:history="1">
        <w:r w:rsidR="00301FBC" w:rsidRPr="007A51D5">
          <w:rPr>
            <w:rStyle w:val="Hyperlink"/>
            <w:rFonts w:ascii="Times New Roman" w:eastAsia="Times New Roman" w:hAnsi="Times New Roman" w:cs="Times New Roman"/>
            <w:sz w:val="20"/>
            <w:szCs w:val="20"/>
          </w:rPr>
          <w:t>calebni21@gmail.com</w:t>
        </w:r>
      </w:hyperlink>
    </w:p>
    <w:p w14:paraId="3FF7ECC1" w14:textId="39B59864" w:rsidR="702151C3" w:rsidRDefault="42684A46" w:rsidP="09617BC6">
      <w:pPr>
        <w:pStyle w:val="ListParagraph"/>
        <w:spacing w:line="240" w:lineRule="auto"/>
        <w:jc w:val="center"/>
        <w:rPr>
          <w:rFonts w:ascii="Times New Roman" w:eastAsia="Times New Roman" w:hAnsi="Times New Roman" w:cs="Times New Roman"/>
          <w:sz w:val="20"/>
          <w:szCs w:val="20"/>
        </w:rPr>
      </w:pPr>
      <w:r w:rsidRPr="09617BC6">
        <w:rPr>
          <w:rFonts w:ascii="Times New Roman" w:eastAsia="Times New Roman" w:hAnsi="Times New Roman" w:cs="Times New Roman"/>
          <w:sz w:val="20"/>
          <w:szCs w:val="20"/>
        </w:rPr>
        <w:t>*</w:t>
      </w:r>
      <w:r w:rsidR="319E9334" w:rsidRPr="09617BC6">
        <w:rPr>
          <w:rFonts w:ascii="Times New Roman" w:eastAsia="Times New Roman" w:hAnsi="Times New Roman" w:cs="Times New Roman"/>
          <w:sz w:val="20"/>
          <w:szCs w:val="20"/>
        </w:rPr>
        <w:t xml:space="preserve">Correspondence: </w:t>
      </w:r>
      <w:hyperlink r:id="rId11" w:history="1">
        <w:r w:rsidR="00C67B4E" w:rsidRPr="007A51D5">
          <w:rPr>
            <w:rStyle w:val="Hyperlink"/>
            <w:rFonts w:ascii="Times New Roman" w:eastAsia="Times New Roman" w:hAnsi="Times New Roman" w:cs="Times New Roman"/>
            <w:sz w:val="20"/>
            <w:szCs w:val="20"/>
          </w:rPr>
          <w:t>yni@csusb.edu</w:t>
        </w:r>
      </w:hyperlink>
      <w:r w:rsidR="319E9334" w:rsidRPr="09617BC6">
        <w:rPr>
          <w:rFonts w:ascii="Times New Roman" w:eastAsia="Times New Roman" w:hAnsi="Times New Roman" w:cs="Times New Roman"/>
          <w:sz w:val="20"/>
          <w:szCs w:val="20"/>
        </w:rPr>
        <w:t>; Telephone: (</w:t>
      </w:r>
      <w:r w:rsidR="0BF47C77" w:rsidRPr="09617BC6">
        <w:rPr>
          <w:rFonts w:ascii="Times New Roman" w:eastAsia="Times New Roman" w:hAnsi="Times New Roman" w:cs="Times New Roman"/>
          <w:sz w:val="20"/>
          <w:szCs w:val="20"/>
        </w:rPr>
        <w:t>909) 537-4417</w:t>
      </w:r>
    </w:p>
    <w:p w14:paraId="14D9D1F0" w14:textId="5762D1CF" w:rsidR="702151C3" w:rsidRDefault="702151C3" w:rsidP="09617BC6">
      <w:pPr>
        <w:pStyle w:val="ListParagraph"/>
        <w:spacing w:line="240" w:lineRule="auto"/>
        <w:jc w:val="both"/>
        <w:rPr>
          <w:rFonts w:ascii="Times New Roman" w:eastAsia="Times New Roman" w:hAnsi="Times New Roman" w:cs="Times New Roman"/>
        </w:rPr>
      </w:pPr>
    </w:p>
    <w:p w14:paraId="5CFE7FDC" w14:textId="6744953F" w:rsidR="00714F12" w:rsidRDefault="6682C849" w:rsidP="00A71B2B">
      <w:pPr>
        <w:spacing w:line="240" w:lineRule="auto"/>
        <w:rPr>
          <w:rFonts w:ascii="Times New Roman" w:eastAsia="Times New Roman" w:hAnsi="Times New Roman" w:cs="Times New Roman"/>
        </w:rPr>
      </w:pPr>
      <w:r w:rsidRPr="09617BC6">
        <w:rPr>
          <w:rFonts w:ascii="Times New Roman" w:eastAsia="Times New Roman" w:hAnsi="Times New Roman" w:cs="Times New Roman"/>
          <w:b/>
          <w:bCs/>
        </w:rPr>
        <w:t xml:space="preserve">Abstract: </w:t>
      </w:r>
      <w:r w:rsidR="6B7168FF">
        <w:br/>
      </w:r>
      <w:r w:rsidRPr="09617BC6">
        <w:rPr>
          <w:rFonts w:ascii="Times New Roman" w:eastAsia="Times New Roman" w:hAnsi="Times New Roman" w:cs="Times New Roman"/>
        </w:rPr>
        <w:t xml:space="preserve">Space-Based Solar Power (SBSP) continues to attract global interest as a transformative solution for clean, continuous energy generation via wireless transmission from orbit to Earth. </w:t>
      </w:r>
      <w:r w:rsidR="00714F12" w:rsidRPr="00714F12">
        <w:rPr>
          <w:rFonts w:ascii="Times New Roman" w:eastAsia="Times New Roman" w:hAnsi="Times New Roman" w:cs="Times New Roman"/>
        </w:rPr>
        <w:t xml:space="preserve">While technological feasibility is rapidly improving, SBSP’s deployment remains constrained by fragmented governance, regulatory uncertainty, and weak market formation across the global commons. This paper reframes SBSP primarily as a public policy and market-design </w:t>
      </w:r>
      <w:r w:rsidR="00B46947">
        <w:rPr>
          <w:rFonts w:ascii="Times New Roman" w:eastAsia="Times New Roman" w:hAnsi="Times New Roman" w:cs="Times New Roman"/>
        </w:rPr>
        <w:t>problem</w:t>
      </w:r>
      <w:r w:rsidR="00714F12" w:rsidRPr="00714F12">
        <w:rPr>
          <w:rFonts w:ascii="Times New Roman" w:eastAsia="Times New Roman" w:hAnsi="Times New Roman" w:cs="Times New Roman"/>
        </w:rPr>
        <w:t xml:space="preserve"> </w:t>
      </w:r>
      <w:r w:rsidR="00E44536">
        <w:rPr>
          <w:rFonts w:ascii="Times New Roman" w:eastAsia="Times New Roman" w:hAnsi="Times New Roman" w:cs="Times New Roman"/>
        </w:rPr>
        <w:t>rather than</w:t>
      </w:r>
      <w:r w:rsidR="00714F12" w:rsidRPr="00714F12">
        <w:rPr>
          <w:rFonts w:ascii="Times New Roman" w:eastAsia="Times New Roman" w:hAnsi="Times New Roman" w:cs="Times New Roman"/>
        </w:rPr>
        <w:t xml:space="preserve"> a purely technological one. Drawing on </w:t>
      </w:r>
      <w:r w:rsidR="00427A6E">
        <w:rPr>
          <w:rFonts w:ascii="Times New Roman" w:eastAsia="Times New Roman" w:hAnsi="Times New Roman" w:cs="Times New Roman"/>
        </w:rPr>
        <w:t xml:space="preserve">studies in </w:t>
      </w:r>
      <w:r w:rsidR="00714F12" w:rsidRPr="00714F12">
        <w:rPr>
          <w:rFonts w:ascii="Times New Roman" w:eastAsia="Times New Roman" w:hAnsi="Times New Roman" w:cs="Times New Roman"/>
        </w:rPr>
        <w:t xml:space="preserve">international relations, energy governance, and </w:t>
      </w:r>
      <w:r w:rsidR="00B46947">
        <w:rPr>
          <w:rFonts w:ascii="Times New Roman" w:eastAsia="Times New Roman" w:hAnsi="Times New Roman" w:cs="Times New Roman"/>
        </w:rPr>
        <w:t xml:space="preserve">technology and </w:t>
      </w:r>
      <w:r w:rsidR="00714F12" w:rsidRPr="00714F12">
        <w:rPr>
          <w:rFonts w:ascii="Times New Roman" w:eastAsia="Times New Roman" w:hAnsi="Times New Roman" w:cs="Times New Roman"/>
        </w:rPr>
        <w:t xml:space="preserve">innovation policy, </w:t>
      </w:r>
      <w:r w:rsidR="00B46947">
        <w:rPr>
          <w:rFonts w:ascii="Times New Roman" w:eastAsia="Times New Roman" w:hAnsi="Times New Roman" w:cs="Times New Roman"/>
        </w:rPr>
        <w:t xml:space="preserve">we </w:t>
      </w:r>
      <w:r w:rsidR="00714F12" w:rsidRPr="00714F12">
        <w:rPr>
          <w:rFonts w:ascii="Times New Roman" w:eastAsia="Times New Roman" w:hAnsi="Times New Roman" w:cs="Times New Roman"/>
        </w:rPr>
        <w:t>identif</w:t>
      </w:r>
      <w:r w:rsidR="00B46947">
        <w:rPr>
          <w:rFonts w:ascii="Times New Roman" w:eastAsia="Times New Roman" w:hAnsi="Times New Roman" w:cs="Times New Roman"/>
        </w:rPr>
        <w:t>y</w:t>
      </w:r>
      <w:r w:rsidR="00714F12" w:rsidRPr="00714F12">
        <w:rPr>
          <w:rFonts w:ascii="Times New Roman" w:eastAsia="Times New Roman" w:hAnsi="Times New Roman" w:cs="Times New Roman"/>
        </w:rPr>
        <w:t xml:space="preserve"> six guiding principles</w:t>
      </w:r>
      <w:r w:rsidR="00714F12">
        <w:rPr>
          <w:rFonts w:ascii="Times New Roman" w:eastAsia="Times New Roman" w:hAnsi="Times New Roman" w:cs="Times New Roman"/>
        </w:rPr>
        <w:t xml:space="preserve">: </w:t>
      </w:r>
      <w:r w:rsidR="00714F12" w:rsidRPr="00714F12">
        <w:rPr>
          <w:rFonts w:ascii="Times New Roman" w:eastAsia="Times New Roman" w:hAnsi="Times New Roman" w:cs="Times New Roman"/>
        </w:rPr>
        <w:t>universality, global equity, market efficiency, sovereignty, institutional feasibility, and resilience and security</w:t>
      </w:r>
      <w:r w:rsidR="00714F12">
        <w:rPr>
          <w:rFonts w:ascii="Times New Roman" w:eastAsia="Times New Roman" w:hAnsi="Times New Roman" w:cs="Times New Roman"/>
        </w:rPr>
        <w:t xml:space="preserve">, </w:t>
      </w:r>
      <w:r w:rsidR="00714F12" w:rsidRPr="00714F12">
        <w:rPr>
          <w:rFonts w:ascii="Times New Roman" w:eastAsia="Times New Roman" w:hAnsi="Times New Roman" w:cs="Times New Roman"/>
        </w:rPr>
        <w:t>that underpin a coherent SBSP</w:t>
      </w:r>
      <w:r w:rsidR="00814CA8" w:rsidRPr="00814CA8">
        <w:rPr>
          <w:rFonts w:ascii="Times New Roman" w:eastAsia="Times New Roman" w:hAnsi="Times New Roman" w:cs="Times New Roman"/>
        </w:rPr>
        <w:t xml:space="preserve"> </w:t>
      </w:r>
      <w:r w:rsidR="00814CA8" w:rsidRPr="00714F12">
        <w:rPr>
          <w:rFonts w:ascii="Times New Roman" w:eastAsia="Times New Roman" w:hAnsi="Times New Roman" w:cs="Times New Roman"/>
        </w:rPr>
        <w:t>governance framework</w:t>
      </w:r>
      <w:r w:rsidR="00714F12" w:rsidRPr="00714F12">
        <w:rPr>
          <w:rFonts w:ascii="Times New Roman" w:eastAsia="Times New Roman" w:hAnsi="Times New Roman" w:cs="Times New Roman"/>
        </w:rPr>
        <w:t xml:space="preserve">. </w:t>
      </w:r>
      <w:r w:rsidR="00960959">
        <w:rPr>
          <w:rFonts w:ascii="Times New Roman" w:eastAsia="Times New Roman" w:hAnsi="Times New Roman" w:cs="Times New Roman"/>
        </w:rPr>
        <w:t>We</w:t>
      </w:r>
      <w:r w:rsidR="00714F12" w:rsidRPr="00714F12">
        <w:rPr>
          <w:rFonts w:ascii="Times New Roman" w:eastAsia="Times New Roman" w:hAnsi="Times New Roman" w:cs="Times New Roman"/>
        </w:rPr>
        <w:t xml:space="preserve"> propose a market-oriented, multi-level </w:t>
      </w:r>
      <w:r w:rsidR="00814CA8" w:rsidRPr="00714F12">
        <w:rPr>
          <w:rFonts w:ascii="Times New Roman" w:eastAsia="Times New Roman" w:hAnsi="Times New Roman" w:cs="Times New Roman"/>
        </w:rPr>
        <w:t>policy architecture</w:t>
      </w:r>
      <w:r w:rsidR="00814CA8" w:rsidRPr="00714F12">
        <w:rPr>
          <w:rFonts w:ascii="Times New Roman" w:eastAsia="Times New Roman" w:hAnsi="Times New Roman" w:cs="Times New Roman"/>
        </w:rPr>
        <w:t xml:space="preserve"> </w:t>
      </w:r>
      <w:r w:rsidR="00714F12" w:rsidRPr="00714F12">
        <w:rPr>
          <w:rFonts w:ascii="Times New Roman" w:eastAsia="Times New Roman" w:hAnsi="Times New Roman" w:cs="Times New Roman"/>
        </w:rPr>
        <w:t>integrating international treaties, domestic regulation</w:t>
      </w:r>
      <w:r w:rsidR="00714F12">
        <w:rPr>
          <w:rFonts w:ascii="Times New Roman" w:eastAsia="Times New Roman" w:hAnsi="Times New Roman" w:cs="Times New Roman"/>
        </w:rPr>
        <w:t>s</w:t>
      </w:r>
      <w:r w:rsidR="00714F12" w:rsidRPr="00714F12">
        <w:rPr>
          <w:rFonts w:ascii="Times New Roman" w:eastAsia="Times New Roman" w:hAnsi="Times New Roman" w:cs="Times New Roman"/>
        </w:rPr>
        <w:t xml:space="preserve">, and incentive-based mechanisms to enable scalable and legitimate SBSP development. By articulating how policy design can align public objectives with </w:t>
      </w:r>
      <w:r w:rsidR="004672A6">
        <w:rPr>
          <w:rFonts w:ascii="Times New Roman" w:eastAsia="Times New Roman" w:hAnsi="Times New Roman" w:cs="Times New Roman"/>
        </w:rPr>
        <w:t>technological</w:t>
      </w:r>
      <w:r w:rsidR="00714F12" w:rsidRPr="00714F12">
        <w:rPr>
          <w:rFonts w:ascii="Times New Roman" w:eastAsia="Times New Roman" w:hAnsi="Times New Roman" w:cs="Times New Roman"/>
        </w:rPr>
        <w:t xml:space="preserve"> innovation, this paper contributes a structured governance blueprint for transitioning SBSP from experimental demonstration to a competitive component of global clean energy systems.</w:t>
      </w:r>
    </w:p>
    <w:p w14:paraId="19C94EBF" w14:textId="141F1C53" w:rsidR="00B16C6C" w:rsidRPr="00B16C6C" w:rsidRDefault="00B16C6C" w:rsidP="00A71B2B">
      <w:pPr>
        <w:spacing w:line="240" w:lineRule="auto"/>
        <w:rPr>
          <w:rFonts w:ascii="Times New Roman" w:eastAsia="Times New Roman" w:hAnsi="Times New Roman" w:cs="Times New Roman"/>
        </w:rPr>
      </w:pPr>
      <w:r w:rsidRPr="00B16C6C">
        <w:rPr>
          <w:rFonts w:ascii="Times New Roman" w:eastAsia="Times New Roman" w:hAnsi="Times New Roman" w:cs="Times New Roman"/>
          <w:b/>
          <w:bCs/>
        </w:rPr>
        <w:t>Key Words</w:t>
      </w:r>
      <w:r>
        <w:rPr>
          <w:rFonts w:ascii="Times New Roman" w:eastAsia="Times New Roman" w:hAnsi="Times New Roman" w:cs="Times New Roman"/>
          <w:b/>
          <w:bCs/>
        </w:rPr>
        <w:t xml:space="preserve">: </w:t>
      </w:r>
      <w:r w:rsidRPr="00B16C6C">
        <w:rPr>
          <w:rFonts w:ascii="Times New Roman" w:eastAsia="Times New Roman" w:hAnsi="Times New Roman" w:cs="Times New Roman"/>
        </w:rPr>
        <w:t>Space-Based Solar Power</w:t>
      </w:r>
      <w:r>
        <w:rPr>
          <w:rFonts w:ascii="Times New Roman" w:eastAsia="Times New Roman" w:hAnsi="Times New Roman" w:cs="Times New Roman"/>
        </w:rPr>
        <w:t xml:space="preserve">, policy architecture, global commons governance, </w:t>
      </w:r>
      <w:r w:rsidR="00EC674E">
        <w:rPr>
          <w:rFonts w:ascii="Times New Roman" w:eastAsia="Times New Roman" w:hAnsi="Times New Roman" w:cs="Times New Roman"/>
        </w:rPr>
        <w:t xml:space="preserve">administrative mechanism, </w:t>
      </w:r>
      <w:r>
        <w:rPr>
          <w:rFonts w:ascii="Times New Roman" w:eastAsia="Times New Roman" w:hAnsi="Times New Roman" w:cs="Times New Roman"/>
        </w:rPr>
        <w:t>market-based instruments</w:t>
      </w:r>
    </w:p>
    <w:p w14:paraId="27D2C6E3" w14:textId="20DBF318" w:rsidR="000F15FF" w:rsidRPr="00E071A2" w:rsidRDefault="6B7168FF" w:rsidP="00A71B2B">
      <w:pPr>
        <w:pStyle w:val="Heading1"/>
        <w:numPr>
          <w:ilvl w:val="0"/>
          <w:numId w:val="32"/>
        </w:numPr>
        <w:rPr>
          <w:rFonts w:ascii="Times New Roman" w:hAnsi="Times New Roman" w:cs="Times New Roman"/>
          <w:b/>
          <w:bCs/>
          <w:color w:val="auto"/>
          <w:sz w:val="20"/>
          <w:szCs w:val="20"/>
        </w:rPr>
      </w:pPr>
      <w:r w:rsidRPr="00E071A2">
        <w:rPr>
          <w:rFonts w:ascii="Times New Roman" w:hAnsi="Times New Roman" w:cs="Times New Roman"/>
          <w:b/>
          <w:bCs/>
          <w:color w:val="auto"/>
          <w:sz w:val="20"/>
          <w:szCs w:val="20"/>
        </w:rPr>
        <w:t>Introduction</w:t>
      </w:r>
    </w:p>
    <w:p w14:paraId="51B707D9" w14:textId="64803D26" w:rsidR="000F15FF" w:rsidRPr="000F15FF" w:rsidRDefault="000F15FF" w:rsidP="00B01EED">
      <w:pPr>
        <w:spacing w:line="240" w:lineRule="auto"/>
        <w:rPr>
          <w:rFonts w:ascii="Times New Roman" w:hAnsi="Times New Roman" w:cs="Times New Roman"/>
          <w:sz w:val="20"/>
          <w:szCs w:val="20"/>
        </w:rPr>
      </w:pPr>
      <w:r w:rsidRPr="000F15FF">
        <w:rPr>
          <w:rFonts w:ascii="Times New Roman" w:hAnsi="Times New Roman" w:cs="Times New Roman"/>
          <w:sz w:val="20"/>
          <w:szCs w:val="20"/>
        </w:rPr>
        <w:t>Space-Based Solar Power (SBSP) has re-emerged as a credible candidate in the global energy transition as governments confront escalating climate risks and energy security challenges (International Energy Agency [IEA], 2023). SBSP refers to the collection of solar energy in space</w:t>
      </w:r>
      <w:r w:rsidR="009F0DA8">
        <w:rPr>
          <w:rFonts w:ascii="Times New Roman" w:hAnsi="Times New Roman" w:cs="Times New Roman"/>
          <w:sz w:val="20"/>
          <w:szCs w:val="20"/>
        </w:rPr>
        <w:t xml:space="preserve">, </w:t>
      </w:r>
      <w:r w:rsidRPr="000F15FF">
        <w:rPr>
          <w:rFonts w:ascii="Times New Roman" w:hAnsi="Times New Roman" w:cs="Times New Roman"/>
          <w:sz w:val="20"/>
          <w:szCs w:val="20"/>
        </w:rPr>
        <w:t>typically using satellite-mounted photovoltaic arrays</w:t>
      </w:r>
      <w:r w:rsidR="009F0DA8">
        <w:rPr>
          <w:rFonts w:ascii="Times New Roman" w:hAnsi="Times New Roman" w:cs="Times New Roman"/>
          <w:sz w:val="20"/>
          <w:szCs w:val="20"/>
        </w:rPr>
        <w:t xml:space="preserve">, </w:t>
      </w:r>
      <w:r w:rsidRPr="000F15FF">
        <w:rPr>
          <w:rFonts w:ascii="Times New Roman" w:hAnsi="Times New Roman" w:cs="Times New Roman"/>
          <w:sz w:val="20"/>
          <w:szCs w:val="20"/>
        </w:rPr>
        <w:t>and its wireless transmission to Earth via microwave or laser technologies (Glaser, 1968; Mankins, 2</w:t>
      </w:r>
      <w:r w:rsidR="000F6A92">
        <w:rPr>
          <w:rFonts w:ascii="Times New Roman" w:hAnsi="Times New Roman" w:cs="Times New Roman"/>
          <w:sz w:val="20"/>
          <w:szCs w:val="20"/>
        </w:rPr>
        <w:t>014</w:t>
      </w:r>
      <w:r w:rsidRPr="000F15FF">
        <w:rPr>
          <w:rFonts w:ascii="Times New Roman" w:hAnsi="Times New Roman" w:cs="Times New Roman"/>
          <w:sz w:val="20"/>
          <w:szCs w:val="20"/>
        </w:rPr>
        <w:t xml:space="preserve">). Although first proposed in the 1960s, SBSP has gained renewed attention </w:t>
      </w:r>
      <w:r w:rsidR="009F0DA8">
        <w:rPr>
          <w:rFonts w:ascii="Times New Roman" w:hAnsi="Times New Roman" w:cs="Times New Roman"/>
          <w:sz w:val="20"/>
          <w:szCs w:val="20"/>
        </w:rPr>
        <w:t xml:space="preserve">recently </w:t>
      </w:r>
      <w:r w:rsidRPr="000F15FF">
        <w:rPr>
          <w:rFonts w:ascii="Times New Roman" w:hAnsi="Times New Roman" w:cs="Times New Roman"/>
          <w:sz w:val="20"/>
          <w:szCs w:val="20"/>
        </w:rPr>
        <w:t>due to advances in reusable launch systems, lightweight materials, modular satellite architectures, and high-efficiency wireless power transmission (European Space Agency [ESA], 202</w:t>
      </w:r>
      <w:r w:rsidR="000F6A92">
        <w:rPr>
          <w:rFonts w:ascii="Times New Roman" w:hAnsi="Times New Roman" w:cs="Times New Roman"/>
          <w:sz w:val="20"/>
          <w:szCs w:val="20"/>
        </w:rPr>
        <w:t>4</w:t>
      </w:r>
      <w:r w:rsidRPr="000F15FF">
        <w:rPr>
          <w:rFonts w:ascii="Times New Roman" w:hAnsi="Times New Roman" w:cs="Times New Roman"/>
          <w:sz w:val="20"/>
          <w:szCs w:val="20"/>
        </w:rPr>
        <w:t xml:space="preserve">; </w:t>
      </w:r>
      <w:r w:rsidR="000F6A92" w:rsidRPr="000F6A92">
        <w:rPr>
          <w:rFonts w:ascii="Times New Roman" w:hAnsi="Times New Roman" w:cs="Times New Roman"/>
          <w:sz w:val="20"/>
          <w:szCs w:val="20"/>
        </w:rPr>
        <w:t>National Aeronautics and Space Administration</w:t>
      </w:r>
      <w:r w:rsidR="000F6A92">
        <w:rPr>
          <w:rFonts w:ascii="Times New Roman" w:hAnsi="Times New Roman" w:cs="Times New Roman"/>
          <w:sz w:val="20"/>
          <w:szCs w:val="20"/>
        </w:rPr>
        <w:t xml:space="preserve"> [NASA], </w:t>
      </w:r>
      <w:r w:rsidR="000F6A92" w:rsidRPr="000F6A92">
        <w:rPr>
          <w:rFonts w:ascii="Times New Roman" w:hAnsi="Times New Roman" w:cs="Times New Roman"/>
          <w:sz w:val="20"/>
          <w:szCs w:val="20"/>
        </w:rPr>
        <w:t>2024</w:t>
      </w:r>
      <w:r w:rsidRPr="000F15FF">
        <w:rPr>
          <w:rFonts w:ascii="Times New Roman" w:hAnsi="Times New Roman" w:cs="Times New Roman"/>
          <w:sz w:val="20"/>
          <w:szCs w:val="20"/>
        </w:rPr>
        <w:t>).</w:t>
      </w:r>
    </w:p>
    <w:p w14:paraId="37220C6B" w14:textId="68C9EBE2" w:rsidR="000F15FF" w:rsidRPr="000F15FF" w:rsidRDefault="000F6A92" w:rsidP="00B01EED">
      <w:pPr>
        <w:spacing w:line="240" w:lineRule="auto"/>
        <w:rPr>
          <w:rFonts w:ascii="Times New Roman" w:hAnsi="Times New Roman" w:cs="Times New Roman"/>
          <w:b/>
          <w:bCs/>
          <w:sz w:val="20"/>
          <w:szCs w:val="20"/>
        </w:rPr>
      </w:pPr>
      <w:r w:rsidRPr="000F6A92">
        <w:rPr>
          <w:rFonts w:ascii="Times New Roman" w:hAnsi="Times New Roman" w:cs="Times New Roman"/>
          <w:sz w:val="20"/>
          <w:szCs w:val="20"/>
        </w:rPr>
        <w:t xml:space="preserve">Because SBSP operates above the atmosphere and is not </w:t>
      </w:r>
      <w:r w:rsidR="00177549">
        <w:rPr>
          <w:rFonts w:ascii="Times New Roman" w:hAnsi="Times New Roman" w:cs="Times New Roman"/>
          <w:sz w:val="20"/>
          <w:szCs w:val="20"/>
        </w:rPr>
        <w:t>constraint</w:t>
      </w:r>
      <w:r w:rsidRPr="000F6A92">
        <w:rPr>
          <w:rFonts w:ascii="Times New Roman" w:hAnsi="Times New Roman" w:cs="Times New Roman"/>
          <w:sz w:val="20"/>
          <w:szCs w:val="20"/>
        </w:rPr>
        <w:t xml:space="preserve"> by </w:t>
      </w:r>
      <w:r w:rsidR="00177549">
        <w:rPr>
          <w:rFonts w:ascii="Times New Roman" w:hAnsi="Times New Roman" w:cs="Times New Roman"/>
          <w:sz w:val="20"/>
          <w:szCs w:val="20"/>
        </w:rPr>
        <w:t>time</w:t>
      </w:r>
      <w:r w:rsidRPr="000F6A92">
        <w:rPr>
          <w:rFonts w:ascii="Times New Roman" w:hAnsi="Times New Roman" w:cs="Times New Roman"/>
          <w:sz w:val="20"/>
          <w:szCs w:val="20"/>
        </w:rPr>
        <w:t xml:space="preserve"> or weather, it can deliver near-continuous power with an effective capacity far exceeding that of terrestrial solar or wind systems (Che, Liu, &amp; He, 2025; Alam et al., 2024).</w:t>
      </w:r>
      <w:r w:rsidR="000F15FF" w:rsidRPr="000F15FF">
        <w:rPr>
          <w:rFonts w:ascii="Times New Roman" w:hAnsi="Times New Roman" w:cs="Times New Roman"/>
          <w:sz w:val="20"/>
          <w:szCs w:val="20"/>
        </w:rPr>
        <w:t xml:space="preserve"> This feature positions SBSP as a potential complement to intermittent renewables and a long-term alternative to conventional baseload generation.</w:t>
      </w:r>
    </w:p>
    <w:p w14:paraId="27BE8D94" w14:textId="6186FBB6" w:rsidR="0033674F" w:rsidRDefault="0033674F" w:rsidP="00B01EED">
      <w:pPr>
        <w:spacing w:line="240" w:lineRule="auto"/>
        <w:rPr>
          <w:rFonts w:ascii="Times New Roman" w:hAnsi="Times New Roman" w:cs="Times New Roman"/>
          <w:sz w:val="20"/>
          <w:szCs w:val="20"/>
        </w:rPr>
      </w:pPr>
      <w:r w:rsidRPr="0033674F">
        <w:rPr>
          <w:rFonts w:ascii="Times New Roman" w:hAnsi="Times New Roman" w:cs="Times New Roman"/>
          <w:sz w:val="20"/>
          <w:szCs w:val="20"/>
        </w:rPr>
        <w:t>Beyond conceptual promise, SBSP is entering an era of large-scale experimentation. National governments</w:t>
      </w:r>
      <w:r w:rsidR="00F169CF">
        <w:rPr>
          <w:rFonts w:ascii="Times New Roman" w:hAnsi="Times New Roman" w:cs="Times New Roman"/>
          <w:sz w:val="20"/>
          <w:szCs w:val="20"/>
        </w:rPr>
        <w:t xml:space="preserve">, </w:t>
      </w:r>
      <w:r w:rsidRPr="0033674F">
        <w:rPr>
          <w:rFonts w:ascii="Times New Roman" w:hAnsi="Times New Roman" w:cs="Times New Roman"/>
          <w:sz w:val="20"/>
          <w:szCs w:val="20"/>
        </w:rPr>
        <w:t>including the United States</w:t>
      </w:r>
      <w:r w:rsidR="0041375E">
        <w:rPr>
          <w:rFonts w:ascii="Times New Roman" w:hAnsi="Times New Roman" w:cs="Times New Roman"/>
          <w:sz w:val="20"/>
          <w:szCs w:val="20"/>
        </w:rPr>
        <w:t xml:space="preserve"> (U</w:t>
      </w:r>
      <w:r w:rsidR="00755431">
        <w:rPr>
          <w:rFonts w:ascii="Times New Roman" w:hAnsi="Times New Roman" w:cs="Times New Roman"/>
          <w:sz w:val="20"/>
          <w:szCs w:val="20"/>
        </w:rPr>
        <w:t>.</w:t>
      </w:r>
      <w:r w:rsidR="0041375E">
        <w:rPr>
          <w:rFonts w:ascii="Times New Roman" w:hAnsi="Times New Roman" w:cs="Times New Roman"/>
          <w:sz w:val="20"/>
          <w:szCs w:val="20"/>
        </w:rPr>
        <w:t>S</w:t>
      </w:r>
      <w:r w:rsidR="00755431">
        <w:rPr>
          <w:rFonts w:ascii="Times New Roman" w:hAnsi="Times New Roman" w:cs="Times New Roman"/>
          <w:sz w:val="20"/>
          <w:szCs w:val="20"/>
        </w:rPr>
        <w:t>.</w:t>
      </w:r>
      <w:r w:rsidR="0041375E">
        <w:rPr>
          <w:rFonts w:ascii="Times New Roman" w:hAnsi="Times New Roman" w:cs="Times New Roman"/>
          <w:sz w:val="20"/>
          <w:szCs w:val="20"/>
        </w:rPr>
        <w:t>)</w:t>
      </w:r>
      <w:r w:rsidRPr="0033674F">
        <w:rPr>
          <w:rFonts w:ascii="Times New Roman" w:hAnsi="Times New Roman" w:cs="Times New Roman"/>
          <w:sz w:val="20"/>
          <w:szCs w:val="20"/>
        </w:rPr>
        <w:t>, China, Japan, and the United Kingdom</w:t>
      </w:r>
      <w:r w:rsidR="0041375E">
        <w:rPr>
          <w:rFonts w:ascii="Times New Roman" w:hAnsi="Times New Roman" w:cs="Times New Roman"/>
          <w:sz w:val="20"/>
          <w:szCs w:val="20"/>
        </w:rPr>
        <w:t xml:space="preserve"> (U</w:t>
      </w:r>
      <w:r w:rsidR="00755431">
        <w:rPr>
          <w:rFonts w:ascii="Times New Roman" w:hAnsi="Times New Roman" w:cs="Times New Roman"/>
          <w:sz w:val="20"/>
          <w:szCs w:val="20"/>
        </w:rPr>
        <w:t>.</w:t>
      </w:r>
      <w:r w:rsidR="0041375E">
        <w:rPr>
          <w:rFonts w:ascii="Times New Roman" w:hAnsi="Times New Roman" w:cs="Times New Roman"/>
          <w:sz w:val="20"/>
          <w:szCs w:val="20"/>
        </w:rPr>
        <w:t>K</w:t>
      </w:r>
      <w:r w:rsidR="00755431">
        <w:rPr>
          <w:rFonts w:ascii="Times New Roman" w:hAnsi="Times New Roman" w:cs="Times New Roman"/>
          <w:sz w:val="20"/>
          <w:szCs w:val="20"/>
        </w:rPr>
        <w:t>.</w:t>
      </w:r>
      <w:r w:rsidR="0041375E">
        <w:rPr>
          <w:rFonts w:ascii="Times New Roman" w:hAnsi="Times New Roman" w:cs="Times New Roman"/>
          <w:sz w:val="20"/>
          <w:szCs w:val="20"/>
        </w:rPr>
        <w:t>)</w:t>
      </w:r>
      <w:r w:rsidR="00F169CF">
        <w:rPr>
          <w:rFonts w:ascii="Times New Roman" w:hAnsi="Times New Roman" w:cs="Times New Roman"/>
          <w:sz w:val="20"/>
          <w:szCs w:val="20"/>
        </w:rPr>
        <w:t xml:space="preserve">, </w:t>
      </w:r>
      <w:r w:rsidRPr="0033674F">
        <w:rPr>
          <w:rFonts w:ascii="Times New Roman" w:hAnsi="Times New Roman" w:cs="Times New Roman"/>
          <w:sz w:val="20"/>
          <w:szCs w:val="20"/>
        </w:rPr>
        <w:t xml:space="preserve">alongside private-sector actors such as Northrop Grumman, Lockheed Martin, Airbus, Mitsubishi Heavy Industries, and Solaren, have launched or announced SBSP-related initiatives that mark a transition from </w:t>
      </w:r>
      <w:r w:rsidR="00221591">
        <w:rPr>
          <w:rFonts w:ascii="Times New Roman" w:hAnsi="Times New Roman" w:cs="Times New Roman"/>
          <w:sz w:val="20"/>
          <w:szCs w:val="20"/>
        </w:rPr>
        <w:t>conceptual</w:t>
      </w:r>
      <w:r w:rsidRPr="0033674F">
        <w:rPr>
          <w:rFonts w:ascii="Times New Roman" w:hAnsi="Times New Roman" w:cs="Times New Roman"/>
          <w:sz w:val="20"/>
          <w:szCs w:val="20"/>
        </w:rPr>
        <w:t xml:space="preserve"> research toward pre-commercial development (Hajimiri et al., 2023;</w:t>
      </w:r>
      <w:r w:rsidR="00052DFE">
        <w:rPr>
          <w:rFonts w:ascii="Times New Roman" w:hAnsi="Times New Roman" w:cs="Times New Roman"/>
          <w:sz w:val="20"/>
          <w:szCs w:val="20"/>
        </w:rPr>
        <w:t xml:space="preserve"> Sasaki, 2014</w:t>
      </w:r>
      <w:r w:rsidRPr="0033674F">
        <w:rPr>
          <w:rFonts w:ascii="Times New Roman" w:hAnsi="Times New Roman" w:cs="Times New Roman"/>
          <w:sz w:val="20"/>
          <w:szCs w:val="20"/>
        </w:rPr>
        <w:t xml:space="preserve">; </w:t>
      </w:r>
      <w:r w:rsidR="00467A19">
        <w:rPr>
          <w:rFonts w:ascii="Times New Roman" w:hAnsi="Times New Roman" w:cs="Times New Roman"/>
          <w:sz w:val="20"/>
          <w:szCs w:val="20"/>
        </w:rPr>
        <w:t xml:space="preserve">Mankins, 2014; </w:t>
      </w:r>
      <w:r w:rsidR="00052DFE">
        <w:rPr>
          <w:rFonts w:ascii="Times New Roman" w:hAnsi="Times New Roman" w:cs="Times New Roman"/>
          <w:sz w:val="20"/>
          <w:szCs w:val="20"/>
        </w:rPr>
        <w:t>Adlen &amp; Soltau, 2021</w:t>
      </w:r>
      <w:r w:rsidRPr="0033674F">
        <w:rPr>
          <w:rFonts w:ascii="Times New Roman" w:hAnsi="Times New Roman" w:cs="Times New Roman"/>
          <w:sz w:val="20"/>
          <w:szCs w:val="20"/>
        </w:rPr>
        <w:t>; Zhang et al., 2021).</w:t>
      </w:r>
      <w:r w:rsidR="00271A0C">
        <w:rPr>
          <w:rFonts w:ascii="Times New Roman" w:hAnsi="Times New Roman" w:cs="Times New Roman"/>
          <w:sz w:val="20"/>
          <w:szCs w:val="20"/>
        </w:rPr>
        <w:t xml:space="preserve"> T</w:t>
      </w:r>
      <w:r w:rsidRPr="0033674F">
        <w:rPr>
          <w:rFonts w:ascii="Times New Roman" w:hAnsi="Times New Roman" w:cs="Times New Roman"/>
          <w:sz w:val="20"/>
          <w:szCs w:val="20"/>
        </w:rPr>
        <w:t>hese initiatives indicate that SBSP is no longer merely speculative but is instead entering a critical policy window</w:t>
      </w:r>
      <w:r w:rsidR="00221591">
        <w:rPr>
          <w:rFonts w:ascii="Times New Roman" w:hAnsi="Times New Roman" w:cs="Times New Roman"/>
          <w:sz w:val="20"/>
          <w:szCs w:val="20"/>
        </w:rPr>
        <w:t xml:space="preserve">, </w:t>
      </w:r>
      <w:r w:rsidRPr="0033674F">
        <w:rPr>
          <w:rFonts w:ascii="Times New Roman" w:hAnsi="Times New Roman" w:cs="Times New Roman"/>
          <w:sz w:val="20"/>
          <w:szCs w:val="20"/>
        </w:rPr>
        <w:t xml:space="preserve">one in </w:t>
      </w:r>
      <w:r w:rsidRPr="0033674F">
        <w:rPr>
          <w:rFonts w:ascii="Times New Roman" w:hAnsi="Times New Roman" w:cs="Times New Roman"/>
          <w:sz w:val="20"/>
          <w:szCs w:val="20"/>
        </w:rPr>
        <w:lastRenderedPageBreak/>
        <w:t>which governance frameworks, market design, and international coordination are likely to become decisive determinants of its future trajectory.</w:t>
      </w:r>
    </w:p>
    <w:p w14:paraId="1CDB3409" w14:textId="1A504B68" w:rsidR="000F15FF" w:rsidRPr="000F15FF" w:rsidRDefault="000F15FF" w:rsidP="00B01EED">
      <w:pPr>
        <w:spacing w:line="240" w:lineRule="auto"/>
        <w:rPr>
          <w:rFonts w:ascii="Times New Roman" w:hAnsi="Times New Roman" w:cs="Times New Roman"/>
          <w:b/>
          <w:bCs/>
          <w:sz w:val="20"/>
          <w:szCs w:val="20"/>
        </w:rPr>
      </w:pPr>
      <w:r w:rsidRPr="000F15FF">
        <w:rPr>
          <w:rFonts w:ascii="Times New Roman" w:hAnsi="Times New Roman" w:cs="Times New Roman"/>
          <w:sz w:val="20"/>
          <w:szCs w:val="20"/>
        </w:rPr>
        <w:t>Despite this momentum, SBSP faces substantial barriers that extend well beyond engineering feasibility</w:t>
      </w:r>
      <w:r w:rsidR="00675EC6">
        <w:rPr>
          <w:rFonts w:ascii="Times New Roman" w:hAnsi="Times New Roman" w:cs="Times New Roman"/>
          <w:sz w:val="20"/>
          <w:szCs w:val="20"/>
        </w:rPr>
        <w:t xml:space="preserve">, including </w:t>
      </w:r>
      <w:r w:rsidRPr="000F15FF">
        <w:rPr>
          <w:rFonts w:ascii="Times New Roman" w:hAnsi="Times New Roman" w:cs="Times New Roman"/>
          <w:sz w:val="20"/>
          <w:szCs w:val="20"/>
        </w:rPr>
        <w:t>frequency allocation and spectrum governance for wireless power transmission</w:t>
      </w:r>
      <w:r w:rsidR="002719DE">
        <w:rPr>
          <w:rFonts w:ascii="Times New Roman" w:hAnsi="Times New Roman" w:cs="Times New Roman"/>
          <w:sz w:val="20"/>
          <w:szCs w:val="20"/>
        </w:rPr>
        <w:t xml:space="preserve"> (Hajimiri et al., 2023)</w:t>
      </w:r>
      <w:r w:rsidRPr="000F15FF">
        <w:rPr>
          <w:rFonts w:ascii="Times New Roman" w:hAnsi="Times New Roman" w:cs="Times New Roman"/>
          <w:sz w:val="20"/>
          <w:szCs w:val="20"/>
        </w:rPr>
        <w:t>, safety and environmental concerns related to microwave or laser beams</w:t>
      </w:r>
      <w:r w:rsidR="002719DE">
        <w:rPr>
          <w:rFonts w:ascii="Times New Roman" w:hAnsi="Times New Roman" w:cs="Times New Roman"/>
          <w:sz w:val="20"/>
          <w:szCs w:val="20"/>
        </w:rPr>
        <w:t xml:space="preserve"> (Glaser, 1968; Brown, 1984)</w:t>
      </w:r>
      <w:r w:rsidRPr="000F15FF">
        <w:rPr>
          <w:rFonts w:ascii="Times New Roman" w:hAnsi="Times New Roman" w:cs="Times New Roman"/>
          <w:sz w:val="20"/>
          <w:szCs w:val="20"/>
        </w:rPr>
        <w:t>, orbital congestion and space debris management</w:t>
      </w:r>
      <w:r w:rsidR="002719DE">
        <w:rPr>
          <w:rFonts w:ascii="Times New Roman" w:hAnsi="Times New Roman" w:cs="Times New Roman"/>
          <w:sz w:val="20"/>
          <w:szCs w:val="20"/>
        </w:rPr>
        <w:t xml:space="preserve"> (Kessler &amp; Cour-Palasis, 1978; Weeden &amp; Chow, 2012), </w:t>
      </w:r>
      <w:r w:rsidRPr="000F15FF">
        <w:rPr>
          <w:rFonts w:ascii="Times New Roman" w:hAnsi="Times New Roman" w:cs="Times New Roman"/>
          <w:sz w:val="20"/>
          <w:szCs w:val="20"/>
        </w:rPr>
        <w:t>and the integration of space-derived power into terrestrial energy grids and markets</w:t>
      </w:r>
      <w:r w:rsidR="002719DE">
        <w:rPr>
          <w:rFonts w:ascii="Times New Roman" w:hAnsi="Times New Roman" w:cs="Times New Roman"/>
          <w:sz w:val="20"/>
          <w:szCs w:val="20"/>
        </w:rPr>
        <w:t xml:space="preserve"> (Mankins 2014; </w:t>
      </w:r>
      <w:r w:rsidR="002719DE" w:rsidRPr="002719DE">
        <w:rPr>
          <w:rFonts w:ascii="Times New Roman" w:hAnsi="Times New Roman" w:cs="Times New Roman"/>
          <w:sz w:val="20"/>
          <w:szCs w:val="20"/>
        </w:rPr>
        <w:t>Institute of Electrical and Electronics Engineers</w:t>
      </w:r>
      <w:r w:rsidR="002719DE">
        <w:rPr>
          <w:rFonts w:ascii="Times New Roman" w:hAnsi="Times New Roman" w:cs="Times New Roman"/>
          <w:sz w:val="20"/>
          <w:szCs w:val="20"/>
        </w:rPr>
        <w:t xml:space="preserve"> [IEEE], 2018)</w:t>
      </w:r>
      <w:r w:rsidRPr="000F15FF">
        <w:rPr>
          <w:rFonts w:ascii="Times New Roman" w:hAnsi="Times New Roman" w:cs="Times New Roman"/>
          <w:sz w:val="20"/>
          <w:szCs w:val="20"/>
        </w:rPr>
        <w:t>. These issues are inherently transnational and regulatory in nature, placing public policy</w:t>
      </w:r>
      <w:r w:rsidR="00E86FFA">
        <w:rPr>
          <w:rFonts w:ascii="Times New Roman" w:hAnsi="Times New Roman" w:cs="Times New Roman"/>
          <w:sz w:val="20"/>
          <w:szCs w:val="20"/>
        </w:rPr>
        <w:t xml:space="preserve">, </w:t>
      </w:r>
      <w:r w:rsidRPr="000F15FF">
        <w:rPr>
          <w:rFonts w:ascii="Times New Roman" w:hAnsi="Times New Roman" w:cs="Times New Roman"/>
          <w:sz w:val="20"/>
          <w:szCs w:val="20"/>
        </w:rPr>
        <w:t>not technology alone</w:t>
      </w:r>
      <w:r w:rsidR="00E86FFA">
        <w:rPr>
          <w:rFonts w:ascii="Times New Roman" w:hAnsi="Times New Roman" w:cs="Times New Roman"/>
          <w:sz w:val="20"/>
          <w:szCs w:val="20"/>
        </w:rPr>
        <w:t xml:space="preserve">, </w:t>
      </w:r>
      <w:r w:rsidRPr="000F15FF">
        <w:rPr>
          <w:rFonts w:ascii="Times New Roman" w:hAnsi="Times New Roman" w:cs="Times New Roman"/>
          <w:sz w:val="20"/>
          <w:szCs w:val="20"/>
        </w:rPr>
        <w:t>at the center of SBSP’s viability.</w:t>
      </w:r>
    </w:p>
    <w:p w14:paraId="1E77F6DD" w14:textId="0B66546C" w:rsidR="000F15FF" w:rsidRPr="000F15FF" w:rsidRDefault="000F15FF" w:rsidP="00B01EED">
      <w:pPr>
        <w:spacing w:line="240" w:lineRule="auto"/>
        <w:rPr>
          <w:rFonts w:ascii="Times New Roman" w:hAnsi="Times New Roman" w:cs="Times New Roman"/>
          <w:b/>
          <w:bCs/>
          <w:sz w:val="20"/>
          <w:szCs w:val="20"/>
        </w:rPr>
      </w:pPr>
      <w:r w:rsidRPr="000F15FF">
        <w:rPr>
          <w:rFonts w:ascii="Times New Roman" w:hAnsi="Times New Roman" w:cs="Times New Roman"/>
          <w:sz w:val="20"/>
          <w:szCs w:val="20"/>
        </w:rPr>
        <w:t xml:space="preserve">The realization of SBSP therefore depends on proactive and coherent policy frameworks. Adopting the </w:t>
      </w:r>
      <w:r w:rsidR="00271A0C">
        <w:rPr>
          <w:rFonts w:ascii="Times New Roman" w:hAnsi="Times New Roman" w:cs="Times New Roman"/>
          <w:sz w:val="20"/>
          <w:szCs w:val="20"/>
        </w:rPr>
        <w:t>perspective</w:t>
      </w:r>
      <w:r w:rsidRPr="000F15FF">
        <w:rPr>
          <w:rFonts w:ascii="Times New Roman" w:hAnsi="Times New Roman" w:cs="Times New Roman"/>
          <w:sz w:val="20"/>
          <w:szCs w:val="20"/>
        </w:rPr>
        <w:t xml:space="preserve"> of a public policy analyst, this paper examines SBSP as a policy</w:t>
      </w:r>
      <w:r w:rsidR="002719DE">
        <w:rPr>
          <w:rFonts w:ascii="Times New Roman" w:hAnsi="Times New Roman" w:cs="Times New Roman"/>
          <w:sz w:val="20"/>
          <w:szCs w:val="20"/>
        </w:rPr>
        <w:t xml:space="preserve"> design</w:t>
      </w:r>
      <w:r w:rsidRPr="000F15FF">
        <w:rPr>
          <w:rFonts w:ascii="Times New Roman" w:hAnsi="Times New Roman" w:cs="Times New Roman"/>
          <w:sz w:val="20"/>
          <w:szCs w:val="20"/>
        </w:rPr>
        <w:t xml:space="preserve"> problem rather than solely a technological one. It analyzes the institutional, regulatory, and governance challenges associated with SBSP and proposes core design principles and a </w:t>
      </w:r>
      <w:r w:rsidR="00620024">
        <w:rPr>
          <w:rFonts w:ascii="Times New Roman" w:hAnsi="Times New Roman" w:cs="Times New Roman"/>
          <w:sz w:val="20"/>
          <w:szCs w:val="20"/>
        </w:rPr>
        <w:t xml:space="preserve">multi-layered </w:t>
      </w:r>
      <w:r w:rsidRPr="000F15FF">
        <w:rPr>
          <w:rFonts w:ascii="Times New Roman" w:hAnsi="Times New Roman" w:cs="Times New Roman"/>
          <w:sz w:val="20"/>
          <w:szCs w:val="20"/>
        </w:rPr>
        <w:t xml:space="preserve">policy architecture to enable its responsible development and deployment. Metaphorically, the purpose of this paper is not to </w:t>
      </w:r>
      <w:r w:rsidR="00271A0C">
        <w:rPr>
          <w:rFonts w:ascii="Times New Roman" w:hAnsi="Times New Roman" w:cs="Times New Roman"/>
          <w:sz w:val="20"/>
          <w:szCs w:val="20"/>
        </w:rPr>
        <w:t xml:space="preserve">build or repair </w:t>
      </w:r>
      <w:r w:rsidR="002A7A91">
        <w:rPr>
          <w:rFonts w:ascii="Times New Roman" w:hAnsi="Times New Roman" w:cs="Times New Roman"/>
          <w:sz w:val="20"/>
          <w:szCs w:val="20"/>
        </w:rPr>
        <w:t>a car</w:t>
      </w:r>
      <w:r w:rsidRPr="000F15FF">
        <w:rPr>
          <w:rFonts w:ascii="Times New Roman" w:hAnsi="Times New Roman" w:cs="Times New Roman"/>
          <w:sz w:val="20"/>
          <w:szCs w:val="20"/>
        </w:rPr>
        <w:t>, but to</w:t>
      </w:r>
      <w:r w:rsidR="006B64D9">
        <w:rPr>
          <w:rFonts w:ascii="Times New Roman" w:hAnsi="Times New Roman" w:cs="Times New Roman"/>
          <w:sz w:val="20"/>
          <w:szCs w:val="20"/>
        </w:rPr>
        <w:t xml:space="preserve"> </w:t>
      </w:r>
      <w:r w:rsidR="00271A0C">
        <w:rPr>
          <w:rFonts w:ascii="Times New Roman" w:hAnsi="Times New Roman" w:cs="Times New Roman"/>
          <w:sz w:val="20"/>
          <w:szCs w:val="20"/>
        </w:rPr>
        <w:t xml:space="preserve">diagnose system constraints </w:t>
      </w:r>
      <w:r w:rsidR="006B64D9">
        <w:rPr>
          <w:rFonts w:ascii="Times New Roman" w:hAnsi="Times New Roman" w:cs="Times New Roman"/>
          <w:sz w:val="20"/>
          <w:szCs w:val="20"/>
        </w:rPr>
        <w:t xml:space="preserve">and </w:t>
      </w:r>
      <w:r w:rsidRPr="000F15FF">
        <w:rPr>
          <w:rFonts w:ascii="Times New Roman" w:hAnsi="Times New Roman" w:cs="Times New Roman"/>
          <w:sz w:val="20"/>
          <w:szCs w:val="20"/>
        </w:rPr>
        <w:t xml:space="preserve">prepare the </w:t>
      </w:r>
      <w:r w:rsidR="002A7A91">
        <w:rPr>
          <w:rFonts w:ascii="Times New Roman" w:hAnsi="Times New Roman" w:cs="Times New Roman"/>
          <w:sz w:val="20"/>
          <w:szCs w:val="20"/>
        </w:rPr>
        <w:t>garage</w:t>
      </w:r>
      <w:r w:rsidR="00E86FFA">
        <w:rPr>
          <w:rFonts w:ascii="Times New Roman" w:hAnsi="Times New Roman" w:cs="Times New Roman"/>
          <w:sz w:val="20"/>
          <w:szCs w:val="20"/>
        </w:rPr>
        <w:t xml:space="preserve">, </w:t>
      </w:r>
      <w:r w:rsidRPr="000F15FF">
        <w:rPr>
          <w:rFonts w:ascii="Times New Roman" w:hAnsi="Times New Roman" w:cs="Times New Roman"/>
          <w:sz w:val="20"/>
          <w:szCs w:val="20"/>
        </w:rPr>
        <w:t xml:space="preserve">so that when the technology is ready, </w:t>
      </w:r>
      <w:r w:rsidR="00271A0C">
        <w:rPr>
          <w:rFonts w:ascii="Times New Roman" w:hAnsi="Times New Roman" w:cs="Times New Roman"/>
          <w:sz w:val="20"/>
          <w:szCs w:val="20"/>
        </w:rPr>
        <w:t>policymakers are equipped to drive the transition effectively</w:t>
      </w:r>
      <w:r w:rsidRPr="000F15FF">
        <w:rPr>
          <w:rFonts w:ascii="Times New Roman" w:hAnsi="Times New Roman" w:cs="Times New Roman"/>
          <w:sz w:val="20"/>
          <w:szCs w:val="20"/>
        </w:rPr>
        <w:t>.</w:t>
      </w:r>
    </w:p>
    <w:p w14:paraId="18493050" w14:textId="77777777" w:rsidR="000F15FF" w:rsidRPr="000F15FF" w:rsidRDefault="000F15FF" w:rsidP="00B01EED">
      <w:pPr>
        <w:pStyle w:val="Heading10"/>
        <w:ind w:left="0"/>
      </w:pPr>
    </w:p>
    <w:p w14:paraId="1B7C3E0A" w14:textId="08760FCC" w:rsidR="2AF2F257" w:rsidRPr="00E071A2" w:rsidRDefault="2E743F4D" w:rsidP="00A71B2B">
      <w:pPr>
        <w:pStyle w:val="Heading10"/>
        <w:numPr>
          <w:ilvl w:val="0"/>
          <w:numId w:val="32"/>
        </w:numPr>
      </w:pPr>
      <w:r w:rsidRPr="00E071A2">
        <w:t>T</w:t>
      </w:r>
      <w:r w:rsidR="45651E9D" w:rsidRPr="00E071A2">
        <w:t>he</w:t>
      </w:r>
      <w:r w:rsidRPr="00E071A2">
        <w:t xml:space="preserve"> P</w:t>
      </w:r>
      <w:r w:rsidR="782CA58B" w:rsidRPr="00E071A2">
        <w:t>olicy</w:t>
      </w:r>
      <w:r w:rsidR="38C6E6B1" w:rsidRPr="00E071A2">
        <w:t xml:space="preserve"> </w:t>
      </w:r>
      <w:r w:rsidRPr="00E071A2">
        <w:t>P</w:t>
      </w:r>
      <w:r w:rsidR="31A3E23C" w:rsidRPr="00E071A2">
        <w:t>roblem</w:t>
      </w:r>
      <w:r w:rsidRPr="00E071A2">
        <w:t xml:space="preserve"> of SBSP M</w:t>
      </w:r>
      <w:r w:rsidR="76DE08A7" w:rsidRPr="00E071A2">
        <w:t>arket</w:t>
      </w:r>
    </w:p>
    <w:p w14:paraId="1F9829E3" w14:textId="33D99A3A" w:rsidR="004023AA" w:rsidRDefault="00E071A2" w:rsidP="00B33113">
      <w:pPr>
        <w:spacing w:line="240" w:lineRule="auto"/>
        <w:rPr>
          <w:rFonts w:ascii="Times New Roman" w:hAnsi="Times New Roman" w:cs="Times New Roman"/>
          <w:sz w:val="20"/>
          <w:szCs w:val="20"/>
        </w:rPr>
      </w:pPr>
      <w:r w:rsidRPr="00E071A2">
        <w:rPr>
          <w:rFonts w:ascii="Times New Roman" w:hAnsi="Times New Roman" w:cs="Times New Roman"/>
          <w:sz w:val="20"/>
          <w:szCs w:val="20"/>
        </w:rPr>
        <w:t xml:space="preserve">The market for SBSP remains nascent but is rapidly emerging as a potentially disruptive force in the global energy transition. </w:t>
      </w:r>
      <w:r w:rsidR="00445EAA" w:rsidRPr="00445EAA">
        <w:rPr>
          <w:rFonts w:ascii="Times New Roman" w:hAnsi="Times New Roman" w:cs="Times New Roman"/>
          <w:sz w:val="20"/>
          <w:szCs w:val="20"/>
        </w:rPr>
        <w:t>Compared with</w:t>
      </w:r>
      <w:r w:rsidR="00AE209D">
        <w:rPr>
          <w:rFonts w:ascii="Times New Roman" w:hAnsi="Times New Roman" w:cs="Times New Roman"/>
          <w:sz w:val="20"/>
          <w:szCs w:val="20"/>
        </w:rPr>
        <w:t xml:space="preserve"> conventional </w:t>
      </w:r>
      <w:r w:rsidR="00036F6C">
        <w:rPr>
          <w:rFonts w:ascii="Times New Roman" w:hAnsi="Times New Roman" w:cs="Times New Roman"/>
          <w:sz w:val="20"/>
          <w:szCs w:val="20"/>
        </w:rPr>
        <w:t xml:space="preserve">energy sources, </w:t>
      </w:r>
      <w:r w:rsidR="00E649E1">
        <w:rPr>
          <w:rFonts w:ascii="Times New Roman" w:hAnsi="Times New Roman" w:cs="Times New Roman"/>
          <w:sz w:val="20"/>
          <w:szCs w:val="20"/>
        </w:rPr>
        <w:t>such as</w:t>
      </w:r>
      <w:r w:rsidR="00445EAA" w:rsidRPr="00445EAA">
        <w:rPr>
          <w:rFonts w:ascii="Times New Roman" w:hAnsi="Times New Roman" w:cs="Times New Roman"/>
          <w:sz w:val="20"/>
          <w:szCs w:val="20"/>
        </w:rPr>
        <w:t xml:space="preserve"> fossil fuels, nuclear power, and terrestrial solar and wind, SBSP is distinguished by near-continuous, weather-independent generation, minimal terrestrial land use, and theoretical global deployability</w:t>
      </w:r>
      <w:r w:rsidR="006D109D">
        <w:rPr>
          <w:rFonts w:ascii="Times New Roman" w:hAnsi="Times New Roman" w:cs="Times New Roman"/>
          <w:sz w:val="20"/>
          <w:szCs w:val="20"/>
        </w:rPr>
        <w:t xml:space="preserve"> </w:t>
      </w:r>
      <w:r w:rsidR="00353452">
        <w:rPr>
          <w:rFonts w:ascii="Times New Roman" w:hAnsi="Times New Roman" w:cs="Times New Roman"/>
          <w:sz w:val="20"/>
          <w:szCs w:val="20"/>
        </w:rPr>
        <w:t>(</w:t>
      </w:r>
      <w:r w:rsidR="00405C88">
        <w:rPr>
          <w:rFonts w:ascii="Times New Roman" w:hAnsi="Times New Roman" w:cs="Times New Roman"/>
          <w:sz w:val="20"/>
          <w:szCs w:val="20"/>
        </w:rPr>
        <w:t>Denholm et al., 2009; ESA 202</w:t>
      </w:r>
      <w:r w:rsidR="00637201">
        <w:rPr>
          <w:rFonts w:ascii="Times New Roman" w:hAnsi="Times New Roman" w:cs="Times New Roman"/>
          <w:sz w:val="20"/>
          <w:szCs w:val="20"/>
        </w:rPr>
        <w:t>4</w:t>
      </w:r>
      <w:r w:rsidR="00405C88">
        <w:rPr>
          <w:rFonts w:ascii="Times New Roman" w:hAnsi="Times New Roman" w:cs="Times New Roman"/>
          <w:sz w:val="20"/>
          <w:szCs w:val="20"/>
        </w:rPr>
        <w:t xml:space="preserve">; Hajimiri et al., 2023; IEA 2023; IREA 2022; Mankins 2014; </w:t>
      </w:r>
      <w:r w:rsidR="00455742" w:rsidRPr="00455742">
        <w:rPr>
          <w:rFonts w:ascii="Times New Roman" w:hAnsi="Times New Roman" w:cs="Times New Roman"/>
          <w:sz w:val="20"/>
          <w:szCs w:val="20"/>
        </w:rPr>
        <w:t xml:space="preserve">Organisation for Economic Co-operation and Development </w:t>
      </w:r>
      <w:r w:rsidR="00455742">
        <w:rPr>
          <w:rFonts w:ascii="Times New Roman" w:hAnsi="Times New Roman" w:cs="Times New Roman"/>
          <w:sz w:val="20"/>
          <w:szCs w:val="20"/>
        </w:rPr>
        <w:t>[</w:t>
      </w:r>
      <w:r w:rsidR="00455742" w:rsidRPr="00455742">
        <w:rPr>
          <w:rFonts w:ascii="Times New Roman" w:hAnsi="Times New Roman" w:cs="Times New Roman"/>
          <w:sz w:val="20"/>
          <w:szCs w:val="20"/>
        </w:rPr>
        <w:t>OECD</w:t>
      </w:r>
      <w:r w:rsidR="00455742">
        <w:rPr>
          <w:rFonts w:ascii="Times New Roman" w:hAnsi="Times New Roman" w:cs="Times New Roman"/>
          <w:sz w:val="20"/>
          <w:szCs w:val="20"/>
        </w:rPr>
        <w:t>] 20</w:t>
      </w:r>
      <w:r w:rsidR="00923C84">
        <w:rPr>
          <w:rFonts w:ascii="Times New Roman" w:hAnsi="Times New Roman" w:cs="Times New Roman"/>
          <w:sz w:val="20"/>
          <w:szCs w:val="20"/>
        </w:rPr>
        <w:t>19</w:t>
      </w:r>
      <w:r w:rsidR="00405C88">
        <w:rPr>
          <w:rFonts w:ascii="Times New Roman" w:hAnsi="Times New Roman" w:cs="Times New Roman"/>
          <w:sz w:val="20"/>
          <w:szCs w:val="20"/>
        </w:rPr>
        <w:t>; United Nations Environmental Programme, 2023)</w:t>
      </w:r>
      <w:r w:rsidR="00250D85" w:rsidRPr="00250D85">
        <w:rPr>
          <w:rFonts w:ascii="Times New Roman" w:hAnsi="Times New Roman" w:cs="Times New Roman"/>
          <w:sz w:val="20"/>
          <w:szCs w:val="20"/>
        </w:rPr>
        <w:t>.</w:t>
      </w:r>
      <w:r w:rsidR="00661D7C">
        <w:rPr>
          <w:rFonts w:ascii="Times New Roman" w:hAnsi="Times New Roman" w:cs="Times New Roman"/>
          <w:sz w:val="20"/>
          <w:szCs w:val="20"/>
        </w:rPr>
        <w:t xml:space="preserve"> </w:t>
      </w:r>
      <w:r w:rsidR="004023AA" w:rsidRPr="00E071A2">
        <w:rPr>
          <w:rFonts w:ascii="Times New Roman" w:hAnsi="Times New Roman" w:cs="Times New Roman"/>
          <w:sz w:val="20"/>
          <w:szCs w:val="20"/>
        </w:rPr>
        <w:t xml:space="preserve">As governments confront intensifying climate risks and the structural limits of land-based renewable energy systems, SBSP offers a fundamentally different pathway to clean energy production. </w:t>
      </w:r>
    </w:p>
    <w:p w14:paraId="01539EF5" w14:textId="77777777" w:rsidR="00E071A2" w:rsidRPr="00E071A2" w:rsidRDefault="00E071A2" w:rsidP="00A71B2B">
      <w:pPr>
        <w:spacing w:line="240" w:lineRule="auto"/>
        <w:rPr>
          <w:rFonts w:ascii="Times New Roman" w:eastAsiaTheme="majorEastAsia" w:hAnsi="Times New Roman" w:cs="Times New Roman"/>
          <w:b/>
          <w:bCs/>
          <w:sz w:val="20"/>
          <w:szCs w:val="20"/>
        </w:rPr>
      </w:pPr>
      <w:r w:rsidRPr="00E071A2">
        <w:rPr>
          <w:rFonts w:ascii="Times New Roman" w:eastAsiaTheme="majorEastAsia" w:hAnsi="Times New Roman" w:cs="Times New Roman"/>
          <w:b/>
          <w:bCs/>
          <w:sz w:val="20"/>
          <w:szCs w:val="20"/>
        </w:rPr>
        <w:t>2.1 Technological Momentum and Strategic National Programs</w:t>
      </w:r>
    </w:p>
    <w:p w14:paraId="3ADF840D" w14:textId="77777777" w:rsidR="007E49F4" w:rsidRDefault="001936FA" w:rsidP="00A71B2B">
      <w:pPr>
        <w:spacing w:line="240" w:lineRule="auto"/>
        <w:rPr>
          <w:rFonts w:ascii="Times New Roman" w:eastAsiaTheme="majorEastAsia" w:hAnsi="Times New Roman" w:cs="Times New Roman"/>
          <w:sz w:val="20"/>
          <w:szCs w:val="20"/>
        </w:rPr>
      </w:pPr>
      <w:r>
        <w:rPr>
          <w:rFonts w:ascii="Times New Roman" w:eastAsiaTheme="majorEastAsia" w:hAnsi="Times New Roman" w:cs="Times New Roman"/>
          <w:sz w:val="20"/>
          <w:szCs w:val="20"/>
        </w:rPr>
        <w:t>SBSP</w:t>
      </w:r>
      <w:r w:rsidR="00E071A2" w:rsidRPr="00E071A2">
        <w:rPr>
          <w:rFonts w:ascii="Times New Roman" w:eastAsiaTheme="majorEastAsia" w:hAnsi="Times New Roman" w:cs="Times New Roman"/>
          <w:sz w:val="20"/>
          <w:szCs w:val="20"/>
        </w:rPr>
        <w:t xml:space="preserve"> </w:t>
      </w:r>
      <w:r w:rsidR="007E49F4" w:rsidRPr="007E49F4">
        <w:rPr>
          <w:rFonts w:ascii="Times New Roman" w:eastAsiaTheme="majorEastAsia" w:hAnsi="Times New Roman" w:cs="Times New Roman"/>
          <w:sz w:val="20"/>
          <w:szCs w:val="20"/>
        </w:rPr>
        <w:t>has begun to move from a long-standing theoretical construct toward early-stage technical feasibility. Recent advances in lightweight materials, autonomous on-orbit assembly, reusable launch systems, and high-efficiency wireless power transmission have enabled several national programs to progress beyond conceptual design and into orbital and near-field demonstrations (Hajimiri et al., 2023; Mankins, 2014; NASA, 2024; SEI, 2026; Zhang et al., 2021).</w:t>
      </w:r>
    </w:p>
    <w:p w14:paraId="7D142A94" w14:textId="0796AFB6" w:rsidR="00CB396E" w:rsidRPr="00E071A2" w:rsidRDefault="00CB396E" w:rsidP="00A71B2B">
      <w:pPr>
        <w:spacing w:line="240" w:lineRule="auto"/>
        <w:rPr>
          <w:rFonts w:ascii="Times New Roman" w:eastAsiaTheme="majorEastAsia" w:hAnsi="Times New Roman" w:cs="Times New Roman"/>
          <w:sz w:val="20"/>
          <w:szCs w:val="20"/>
        </w:rPr>
      </w:pPr>
      <w:r w:rsidRPr="00E071A2">
        <w:rPr>
          <w:rFonts w:ascii="Times New Roman" w:eastAsiaTheme="majorEastAsia" w:hAnsi="Times New Roman" w:cs="Times New Roman"/>
          <w:sz w:val="20"/>
          <w:szCs w:val="20"/>
        </w:rPr>
        <w:t xml:space="preserve">In the United States, </w:t>
      </w:r>
      <w:r w:rsidR="00837056" w:rsidRPr="00837056">
        <w:rPr>
          <w:rFonts w:ascii="Times New Roman" w:eastAsiaTheme="majorEastAsia" w:hAnsi="Times New Roman" w:cs="Times New Roman"/>
          <w:sz w:val="20"/>
          <w:szCs w:val="20"/>
        </w:rPr>
        <w:t>NASA</w:t>
      </w:r>
      <w:r w:rsidR="00837056">
        <w:rPr>
          <w:rFonts w:ascii="Times New Roman" w:eastAsiaTheme="majorEastAsia" w:hAnsi="Times New Roman" w:cs="Times New Roman"/>
          <w:sz w:val="20"/>
          <w:szCs w:val="20"/>
        </w:rPr>
        <w:t xml:space="preserve">’s </w:t>
      </w:r>
      <w:r w:rsidR="00837056" w:rsidRPr="00837056">
        <w:rPr>
          <w:rFonts w:ascii="Times New Roman" w:eastAsiaTheme="majorEastAsia" w:hAnsi="Times New Roman" w:cs="Times New Roman"/>
          <w:sz w:val="20"/>
          <w:szCs w:val="20"/>
        </w:rPr>
        <w:t>Office of Technology, Policy and Strategy</w:t>
      </w:r>
      <w:r w:rsidR="00837056">
        <w:rPr>
          <w:rFonts w:ascii="Times New Roman" w:eastAsiaTheme="majorEastAsia" w:hAnsi="Times New Roman" w:cs="Times New Roman"/>
          <w:sz w:val="20"/>
          <w:szCs w:val="20"/>
        </w:rPr>
        <w:t xml:space="preserve"> (O</w:t>
      </w:r>
      <w:r w:rsidR="00837056" w:rsidRPr="00837056">
        <w:rPr>
          <w:rFonts w:ascii="Times New Roman" w:eastAsiaTheme="majorEastAsia" w:hAnsi="Times New Roman" w:cs="Times New Roman"/>
          <w:sz w:val="20"/>
          <w:szCs w:val="20"/>
        </w:rPr>
        <w:t>TPS</w:t>
      </w:r>
      <w:r w:rsidR="00837056">
        <w:rPr>
          <w:rFonts w:ascii="Times New Roman" w:eastAsiaTheme="majorEastAsia" w:hAnsi="Times New Roman" w:cs="Times New Roman"/>
          <w:sz w:val="20"/>
          <w:szCs w:val="20"/>
        </w:rPr>
        <w:t>)</w:t>
      </w:r>
      <w:r w:rsidR="00837056" w:rsidRPr="00837056">
        <w:rPr>
          <w:rFonts w:ascii="Times New Roman" w:eastAsiaTheme="majorEastAsia" w:hAnsi="Times New Roman" w:cs="Times New Roman"/>
          <w:sz w:val="20"/>
          <w:szCs w:val="20"/>
        </w:rPr>
        <w:t xml:space="preserve"> released a</w:t>
      </w:r>
      <w:r w:rsidR="007E49F4">
        <w:rPr>
          <w:rFonts w:ascii="Times New Roman" w:eastAsiaTheme="majorEastAsia" w:hAnsi="Times New Roman" w:cs="Times New Roman"/>
          <w:sz w:val="20"/>
          <w:szCs w:val="20"/>
        </w:rPr>
        <w:t>n</w:t>
      </w:r>
      <w:r w:rsidR="00837056" w:rsidRPr="00837056">
        <w:rPr>
          <w:rFonts w:ascii="Times New Roman" w:eastAsiaTheme="majorEastAsia" w:hAnsi="Times New Roman" w:cs="Times New Roman"/>
          <w:sz w:val="20"/>
          <w:szCs w:val="20"/>
        </w:rPr>
        <w:t xml:space="preserve"> assessment of SBSP that reviews potential benefits, technical challenges, and options for NASA engagement, reflecting growing U.S. policy and research attention to SBSP (NASA</w:t>
      </w:r>
      <w:r w:rsidR="00837056">
        <w:rPr>
          <w:rFonts w:ascii="Times New Roman" w:eastAsiaTheme="majorEastAsia" w:hAnsi="Times New Roman" w:cs="Times New Roman"/>
          <w:sz w:val="20"/>
          <w:szCs w:val="20"/>
        </w:rPr>
        <w:t>,</w:t>
      </w:r>
      <w:r w:rsidR="00837056" w:rsidRPr="00837056">
        <w:rPr>
          <w:rFonts w:ascii="Times New Roman" w:eastAsiaTheme="majorEastAsia" w:hAnsi="Times New Roman" w:cs="Times New Roman"/>
          <w:sz w:val="20"/>
          <w:szCs w:val="20"/>
        </w:rPr>
        <w:t xml:space="preserve"> 2024).</w:t>
      </w:r>
      <w:r w:rsidR="00837056">
        <w:rPr>
          <w:rFonts w:ascii="Times New Roman" w:eastAsiaTheme="majorEastAsia" w:hAnsi="Times New Roman" w:cs="Times New Roman"/>
          <w:sz w:val="20"/>
          <w:szCs w:val="20"/>
        </w:rPr>
        <w:t xml:space="preserve"> One of the leading initiatives is the </w:t>
      </w:r>
      <w:r w:rsidRPr="00E071A2">
        <w:rPr>
          <w:rFonts w:ascii="Times New Roman" w:eastAsiaTheme="majorEastAsia" w:hAnsi="Times New Roman" w:cs="Times New Roman"/>
          <w:sz w:val="20"/>
          <w:szCs w:val="20"/>
        </w:rPr>
        <w:t>California Institute of Technology’s Space Solar Power Project (SSPP)</w:t>
      </w:r>
      <w:r w:rsidR="00837056">
        <w:rPr>
          <w:rFonts w:ascii="Times New Roman" w:eastAsiaTheme="majorEastAsia" w:hAnsi="Times New Roman" w:cs="Times New Roman"/>
          <w:sz w:val="20"/>
          <w:szCs w:val="20"/>
        </w:rPr>
        <w:t>, which</w:t>
      </w:r>
      <w:r w:rsidRPr="00E071A2">
        <w:rPr>
          <w:rFonts w:ascii="Times New Roman" w:eastAsiaTheme="majorEastAsia" w:hAnsi="Times New Roman" w:cs="Times New Roman"/>
          <w:sz w:val="20"/>
          <w:szCs w:val="20"/>
        </w:rPr>
        <w:t xml:space="preserve"> demonstrated in-orbit wireless power transmission through the launch of the Space Solar Power Demonstrator in 2023</w:t>
      </w:r>
      <w:r w:rsidR="00837056">
        <w:rPr>
          <w:rFonts w:ascii="Times New Roman" w:eastAsiaTheme="majorEastAsia" w:hAnsi="Times New Roman" w:cs="Times New Roman"/>
          <w:sz w:val="20"/>
          <w:szCs w:val="20"/>
        </w:rPr>
        <w:t>, supporting the feasibility of modular and lightweight power-beaming architectures</w:t>
      </w:r>
      <w:r w:rsidRPr="00E071A2">
        <w:rPr>
          <w:rFonts w:ascii="Times New Roman" w:eastAsiaTheme="majorEastAsia" w:hAnsi="Times New Roman" w:cs="Times New Roman"/>
          <w:sz w:val="20"/>
          <w:szCs w:val="20"/>
        </w:rPr>
        <w:t xml:space="preserve"> (</w:t>
      </w:r>
      <w:r w:rsidR="009B4ACD">
        <w:rPr>
          <w:rFonts w:ascii="Times New Roman" w:eastAsiaTheme="majorEastAsia" w:hAnsi="Times New Roman" w:cs="Times New Roman"/>
          <w:sz w:val="20"/>
          <w:szCs w:val="20"/>
        </w:rPr>
        <w:t>Hajimiri et al.</w:t>
      </w:r>
      <w:r w:rsidRPr="00E071A2">
        <w:rPr>
          <w:rFonts w:ascii="Times New Roman" w:eastAsiaTheme="majorEastAsia" w:hAnsi="Times New Roman" w:cs="Times New Roman"/>
          <w:sz w:val="20"/>
          <w:szCs w:val="20"/>
        </w:rPr>
        <w:t>, 2023).</w:t>
      </w:r>
    </w:p>
    <w:p w14:paraId="4954F50A" w14:textId="204D6520" w:rsidR="00E071A2" w:rsidRPr="00E071A2" w:rsidRDefault="00E071A2" w:rsidP="00A71B2B">
      <w:pPr>
        <w:spacing w:line="240" w:lineRule="auto"/>
        <w:rPr>
          <w:rFonts w:ascii="Times New Roman" w:eastAsiaTheme="majorEastAsia" w:hAnsi="Times New Roman" w:cs="Times New Roman"/>
          <w:sz w:val="20"/>
          <w:szCs w:val="20"/>
        </w:rPr>
      </w:pPr>
      <w:r w:rsidRPr="00E071A2">
        <w:rPr>
          <w:rFonts w:ascii="Times New Roman" w:eastAsiaTheme="majorEastAsia" w:hAnsi="Times New Roman" w:cs="Times New Roman"/>
          <w:sz w:val="20"/>
          <w:szCs w:val="20"/>
        </w:rPr>
        <w:t>Japan has maintained the most consistent and technically rigorous SBSP program through the Japan Aerospace Exploration Agency’s (JAXA) Space Solar Power Systems (SSPS) initiative. JAXA has demonstrated precision microwave power transmission and developed a roadmap toward gigawatt-scale orbital systems transmitting energy</w:t>
      </w:r>
      <w:r w:rsidR="00837056">
        <w:rPr>
          <w:rFonts w:ascii="Times New Roman" w:eastAsiaTheme="majorEastAsia" w:hAnsi="Times New Roman" w:cs="Times New Roman"/>
          <w:sz w:val="20"/>
          <w:szCs w:val="20"/>
        </w:rPr>
        <w:t xml:space="preserve"> (</w:t>
      </w:r>
      <w:r w:rsidR="00ED7DD3">
        <w:rPr>
          <w:rFonts w:ascii="Times New Roman" w:eastAsiaTheme="majorEastAsia" w:hAnsi="Times New Roman" w:cs="Times New Roman"/>
          <w:sz w:val="20"/>
          <w:szCs w:val="20"/>
        </w:rPr>
        <w:t>Sasaki</w:t>
      </w:r>
      <w:r w:rsidR="00837056">
        <w:rPr>
          <w:rFonts w:ascii="Times New Roman" w:eastAsiaTheme="majorEastAsia" w:hAnsi="Times New Roman" w:cs="Times New Roman"/>
          <w:sz w:val="20"/>
          <w:szCs w:val="20"/>
        </w:rPr>
        <w:t>, 2014)</w:t>
      </w:r>
      <w:r w:rsidRPr="00E071A2">
        <w:rPr>
          <w:rFonts w:ascii="Times New Roman" w:eastAsiaTheme="majorEastAsia" w:hAnsi="Times New Roman" w:cs="Times New Roman"/>
          <w:sz w:val="20"/>
          <w:szCs w:val="20"/>
        </w:rPr>
        <w:t>.</w:t>
      </w:r>
      <w:r w:rsidR="00526869" w:rsidRPr="00526869">
        <w:t xml:space="preserve"> </w:t>
      </w:r>
      <w:r w:rsidR="00526869" w:rsidRPr="00526869">
        <w:rPr>
          <w:rFonts w:ascii="Times New Roman" w:eastAsiaTheme="majorEastAsia" w:hAnsi="Times New Roman" w:cs="Times New Roman"/>
          <w:sz w:val="20"/>
          <w:szCs w:val="20"/>
        </w:rPr>
        <w:t xml:space="preserve">A major milestone in the national effort is the OHISAMA project, Japan’s first real test of orbital power beaming. </w:t>
      </w:r>
      <w:r w:rsidR="00526869">
        <w:rPr>
          <w:rFonts w:ascii="Times New Roman" w:eastAsiaTheme="majorEastAsia" w:hAnsi="Times New Roman" w:cs="Times New Roman"/>
          <w:sz w:val="20"/>
          <w:szCs w:val="20"/>
        </w:rPr>
        <w:t>T</w:t>
      </w:r>
      <w:r w:rsidR="00526869" w:rsidRPr="00526869">
        <w:rPr>
          <w:rFonts w:ascii="Times New Roman" w:eastAsiaTheme="majorEastAsia" w:hAnsi="Times New Roman" w:cs="Times New Roman"/>
          <w:sz w:val="20"/>
          <w:szCs w:val="20"/>
        </w:rPr>
        <w:t>he OHISAMA satellite is designed to validate precision beam control and demonstrate energy transmission from space to Earth—albeit initially at small scale—to inform later, higher-power phases (</w:t>
      </w:r>
      <w:r w:rsidR="00526869">
        <w:rPr>
          <w:rFonts w:ascii="Times New Roman" w:eastAsiaTheme="majorEastAsia" w:hAnsi="Times New Roman" w:cs="Times New Roman"/>
          <w:sz w:val="20"/>
          <w:szCs w:val="20"/>
        </w:rPr>
        <w:t>Orbital Today, 2024</w:t>
      </w:r>
      <w:r w:rsidR="00526869" w:rsidRPr="00526869">
        <w:rPr>
          <w:rFonts w:ascii="Times New Roman" w:eastAsiaTheme="majorEastAsia" w:hAnsi="Times New Roman" w:cs="Times New Roman"/>
          <w:sz w:val="20"/>
          <w:szCs w:val="20"/>
        </w:rPr>
        <w:t xml:space="preserve">; </w:t>
      </w:r>
      <w:r w:rsidR="00526869">
        <w:rPr>
          <w:rFonts w:ascii="Times New Roman" w:eastAsiaTheme="majorEastAsia" w:hAnsi="Times New Roman" w:cs="Times New Roman"/>
          <w:sz w:val="20"/>
          <w:szCs w:val="20"/>
        </w:rPr>
        <w:t>Tech</w:t>
      </w:r>
      <w:r w:rsidR="002F3F78">
        <w:rPr>
          <w:rFonts w:ascii="Times New Roman" w:eastAsiaTheme="majorEastAsia" w:hAnsi="Times New Roman" w:cs="Times New Roman"/>
          <w:sz w:val="20"/>
          <w:szCs w:val="20"/>
        </w:rPr>
        <w:t>N</w:t>
      </w:r>
      <w:r w:rsidR="00526869">
        <w:rPr>
          <w:rFonts w:ascii="Times New Roman" w:eastAsiaTheme="majorEastAsia" w:hAnsi="Times New Roman" w:cs="Times New Roman"/>
          <w:sz w:val="20"/>
          <w:szCs w:val="20"/>
        </w:rPr>
        <w:t>rok, 2024</w:t>
      </w:r>
      <w:r w:rsidR="00526869" w:rsidRPr="00526869">
        <w:rPr>
          <w:rFonts w:ascii="Times New Roman" w:eastAsiaTheme="majorEastAsia" w:hAnsi="Times New Roman" w:cs="Times New Roman"/>
          <w:sz w:val="20"/>
          <w:szCs w:val="20"/>
        </w:rPr>
        <w:t>). This mission marks a shift from conceptual design toward in-orbit demonstration, signaling that SBSP is moving beyond laboratory and ground tests.</w:t>
      </w:r>
    </w:p>
    <w:p w14:paraId="1AFCF632" w14:textId="6394EF6D" w:rsidR="00E071A2" w:rsidRPr="00E071A2" w:rsidRDefault="00E071A2" w:rsidP="00A71B2B">
      <w:pPr>
        <w:spacing w:line="240" w:lineRule="auto"/>
        <w:rPr>
          <w:rFonts w:ascii="Times New Roman" w:eastAsiaTheme="majorEastAsia" w:hAnsi="Times New Roman" w:cs="Times New Roman"/>
          <w:sz w:val="20"/>
          <w:szCs w:val="20"/>
        </w:rPr>
      </w:pPr>
      <w:r w:rsidRPr="00E071A2">
        <w:rPr>
          <w:rFonts w:ascii="Times New Roman" w:eastAsiaTheme="majorEastAsia" w:hAnsi="Times New Roman" w:cs="Times New Roman"/>
          <w:sz w:val="20"/>
          <w:szCs w:val="20"/>
        </w:rPr>
        <w:t xml:space="preserve">China, led by the China Academy of Space Technology (CAST), </w:t>
      </w:r>
      <w:r w:rsidR="00837056" w:rsidRPr="00837056">
        <w:rPr>
          <w:rFonts w:ascii="Times New Roman" w:eastAsiaTheme="majorEastAsia" w:hAnsi="Times New Roman" w:cs="Times New Roman"/>
          <w:sz w:val="20"/>
          <w:szCs w:val="20"/>
        </w:rPr>
        <w:t>has articulated a staged roadmap toward larger-scale demonstrations</w:t>
      </w:r>
      <w:r w:rsidR="00837056">
        <w:rPr>
          <w:rFonts w:ascii="Times New Roman" w:eastAsiaTheme="majorEastAsia" w:hAnsi="Times New Roman" w:cs="Times New Roman"/>
          <w:sz w:val="20"/>
          <w:szCs w:val="20"/>
        </w:rPr>
        <w:t xml:space="preserve">, </w:t>
      </w:r>
      <w:r w:rsidR="00837056" w:rsidRPr="00837056">
        <w:rPr>
          <w:rFonts w:ascii="Times New Roman" w:eastAsiaTheme="majorEastAsia" w:hAnsi="Times New Roman" w:cs="Times New Roman"/>
          <w:sz w:val="20"/>
          <w:szCs w:val="20"/>
        </w:rPr>
        <w:t>including high-power wireless power transmission demonstration mission</w:t>
      </w:r>
      <w:r w:rsidR="00837056">
        <w:rPr>
          <w:rFonts w:ascii="Times New Roman" w:eastAsiaTheme="majorEastAsia" w:hAnsi="Times New Roman" w:cs="Times New Roman"/>
          <w:sz w:val="20"/>
          <w:szCs w:val="20"/>
        </w:rPr>
        <w:t>s,</w:t>
      </w:r>
      <w:r w:rsidR="00837056" w:rsidRPr="00837056">
        <w:rPr>
          <w:rFonts w:ascii="Times New Roman" w:eastAsiaTheme="majorEastAsia" w:hAnsi="Times New Roman" w:cs="Times New Roman"/>
          <w:sz w:val="20"/>
          <w:szCs w:val="20"/>
        </w:rPr>
        <w:t xml:space="preserve"> and progressive scaling toward megawatt- and gigawatt-class concepts (Hou et al., 2025; </w:t>
      </w:r>
      <w:r w:rsidRPr="00E071A2">
        <w:rPr>
          <w:rFonts w:ascii="Times New Roman" w:eastAsiaTheme="majorEastAsia" w:hAnsi="Times New Roman" w:cs="Times New Roman"/>
          <w:sz w:val="20"/>
          <w:szCs w:val="20"/>
        </w:rPr>
        <w:t>Live Science, 202</w:t>
      </w:r>
      <w:r w:rsidR="006927E4">
        <w:rPr>
          <w:rFonts w:ascii="Times New Roman" w:eastAsiaTheme="majorEastAsia" w:hAnsi="Times New Roman" w:cs="Times New Roman"/>
          <w:sz w:val="20"/>
          <w:szCs w:val="20"/>
        </w:rPr>
        <w:t>5</w:t>
      </w:r>
      <w:r w:rsidRPr="00E071A2">
        <w:rPr>
          <w:rFonts w:ascii="Times New Roman" w:eastAsiaTheme="majorEastAsia" w:hAnsi="Times New Roman" w:cs="Times New Roman"/>
          <w:sz w:val="20"/>
          <w:szCs w:val="20"/>
        </w:rPr>
        <w:t>).</w:t>
      </w:r>
    </w:p>
    <w:p w14:paraId="710729B1" w14:textId="339FD248" w:rsidR="00E071A2" w:rsidRPr="00E071A2" w:rsidRDefault="00E071A2" w:rsidP="00A71B2B">
      <w:pPr>
        <w:spacing w:line="240" w:lineRule="auto"/>
        <w:rPr>
          <w:rFonts w:ascii="Times New Roman" w:eastAsiaTheme="majorEastAsia" w:hAnsi="Times New Roman" w:cs="Times New Roman"/>
          <w:sz w:val="20"/>
          <w:szCs w:val="20"/>
        </w:rPr>
      </w:pPr>
      <w:r w:rsidRPr="00E071A2">
        <w:rPr>
          <w:rFonts w:ascii="Times New Roman" w:eastAsiaTheme="majorEastAsia" w:hAnsi="Times New Roman" w:cs="Times New Roman"/>
          <w:sz w:val="20"/>
          <w:szCs w:val="20"/>
        </w:rPr>
        <w:lastRenderedPageBreak/>
        <w:t>The United Kingdom</w:t>
      </w:r>
      <w:r w:rsidR="00837056">
        <w:rPr>
          <w:rFonts w:ascii="Times New Roman" w:eastAsiaTheme="majorEastAsia" w:hAnsi="Times New Roman" w:cs="Times New Roman"/>
          <w:sz w:val="20"/>
          <w:szCs w:val="20"/>
        </w:rPr>
        <w:t xml:space="preserve"> </w:t>
      </w:r>
      <w:r w:rsidR="00837056" w:rsidRPr="00837056">
        <w:rPr>
          <w:rFonts w:ascii="Times New Roman" w:eastAsiaTheme="majorEastAsia" w:hAnsi="Times New Roman" w:cs="Times New Roman"/>
          <w:sz w:val="20"/>
          <w:szCs w:val="20"/>
        </w:rPr>
        <w:t xml:space="preserve">government funded multiple SBSP technology projects through a </w:t>
      </w:r>
      <w:r w:rsidR="00837056">
        <w:rPr>
          <w:rFonts w:ascii="Times New Roman" w:eastAsiaTheme="majorEastAsia" w:hAnsi="Times New Roman" w:cs="Times New Roman"/>
          <w:sz w:val="20"/>
          <w:szCs w:val="20"/>
        </w:rPr>
        <w:t>SBSP</w:t>
      </w:r>
      <w:r w:rsidR="00837056" w:rsidRPr="00837056">
        <w:rPr>
          <w:rFonts w:ascii="Times New Roman" w:eastAsiaTheme="majorEastAsia" w:hAnsi="Times New Roman" w:cs="Times New Roman"/>
          <w:sz w:val="20"/>
          <w:szCs w:val="20"/>
        </w:rPr>
        <w:t xml:space="preserve"> innovation competition within its Net Zero Innovation Portfolio (Department for Energy Security and Net Zero, 2023).</w:t>
      </w:r>
      <w:r w:rsidR="00837056">
        <w:rPr>
          <w:rFonts w:ascii="Times New Roman" w:eastAsiaTheme="majorEastAsia" w:hAnsi="Times New Roman" w:cs="Times New Roman"/>
          <w:sz w:val="20"/>
          <w:szCs w:val="20"/>
        </w:rPr>
        <w:t xml:space="preserve"> </w:t>
      </w:r>
      <w:r w:rsidR="008A16C6">
        <w:rPr>
          <w:rFonts w:ascii="Times New Roman" w:eastAsiaTheme="majorEastAsia" w:hAnsi="Times New Roman" w:cs="Times New Roman"/>
          <w:sz w:val="20"/>
          <w:szCs w:val="20"/>
        </w:rPr>
        <w:t>Its</w:t>
      </w:r>
      <w:r w:rsidRPr="00E071A2">
        <w:rPr>
          <w:rFonts w:ascii="Times New Roman" w:eastAsiaTheme="majorEastAsia" w:hAnsi="Times New Roman" w:cs="Times New Roman"/>
          <w:sz w:val="20"/>
          <w:szCs w:val="20"/>
        </w:rPr>
        <w:t xml:space="preserve"> Space Energy Initiative (SEI) </w:t>
      </w:r>
      <w:r w:rsidR="00837056" w:rsidRPr="00837056">
        <w:rPr>
          <w:rFonts w:ascii="Times New Roman" w:eastAsiaTheme="majorEastAsia" w:hAnsi="Times New Roman" w:cs="Times New Roman"/>
          <w:sz w:val="20"/>
          <w:szCs w:val="20"/>
        </w:rPr>
        <w:t>coordinates national efforts to advance SBSP toward demonstrations and deployment pathways, including the ecosystem development</w:t>
      </w:r>
      <w:r w:rsidR="00837056">
        <w:rPr>
          <w:rFonts w:ascii="Times New Roman" w:eastAsiaTheme="majorEastAsia" w:hAnsi="Times New Roman" w:cs="Times New Roman"/>
          <w:sz w:val="20"/>
          <w:szCs w:val="20"/>
        </w:rPr>
        <w:t xml:space="preserve"> and the</w:t>
      </w:r>
      <w:r w:rsidR="00837056" w:rsidRPr="00837056">
        <w:rPr>
          <w:rFonts w:ascii="Times New Roman" w:eastAsiaTheme="majorEastAsia" w:hAnsi="Times New Roman" w:cs="Times New Roman"/>
          <w:sz w:val="20"/>
          <w:szCs w:val="20"/>
        </w:rPr>
        <w:t xml:space="preserve"> CASSIOPeiA concept</w:t>
      </w:r>
      <w:r w:rsidRPr="00E071A2">
        <w:rPr>
          <w:rFonts w:ascii="Times New Roman" w:eastAsiaTheme="majorEastAsia" w:hAnsi="Times New Roman" w:cs="Times New Roman"/>
          <w:sz w:val="20"/>
          <w:szCs w:val="20"/>
        </w:rPr>
        <w:t>, a modular phased-array system designed to deliver continuous microwave-based power from orbit (</w:t>
      </w:r>
      <w:r w:rsidR="00837056">
        <w:rPr>
          <w:rFonts w:ascii="Times New Roman" w:eastAsiaTheme="majorEastAsia" w:hAnsi="Times New Roman" w:cs="Times New Roman"/>
          <w:sz w:val="20"/>
          <w:szCs w:val="20"/>
        </w:rPr>
        <w:t>SEI</w:t>
      </w:r>
      <w:r w:rsidRPr="00E071A2">
        <w:rPr>
          <w:rFonts w:ascii="Times New Roman" w:eastAsiaTheme="majorEastAsia" w:hAnsi="Times New Roman" w:cs="Times New Roman"/>
          <w:sz w:val="20"/>
          <w:szCs w:val="20"/>
        </w:rPr>
        <w:t>, 202</w:t>
      </w:r>
      <w:r w:rsidR="00571FF4">
        <w:rPr>
          <w:rFonts w:ascii="Times New Roman" w:eastAsiaTheme="majorEastAsia" w:hAnsi="Times New Roman" w:cs="Times New Roman"/>
          <w:sz w:val="20"/>
          <w:szCs w:val="20"/>
        </w:rPr>
        <w:t>1</w:t>
      </w:r>
      <w:r w:rsidRPr="00E071A2">
        <w:rPr>
          <w:rFonts w:ascii="Times New Roman" w:eastAsiaTheme="majorEastAsia" w:hAnsi="Times New Roman" w:cs="Times New Roman"/>
          <w:sz w:val="20"/>
          <w:szCs w:val="20"/>
        </w:rPr>
        <w:t>).</w:t>
      </w:r>
      <w:r w:rsidR="00A327AA">
        <w:rPr>
          <w:rFonts w:ascii="Times New Roman" w:eastAsiaTheme="majorEastAsia" w:hAnsi="Times New Roman" w:cs="Times New Roman"/>
          <w:sz w:val="20"/>
          <w:szCs w:val="20"/>
        </w:rPr>
        <w:t xml:space="preserve"> As of 2025, </w:t>
      </w:r>
      <w:r w:rsidR="00A327AA" w:rsidRPr="00A327AA">
        <w:rPr>
          <w:rFonts w:ascii="Times New Roman" w:eastAsiaTheme="majorEastAsia" w:hAnsi="Times New Roman" w:cs="Times New Roman"/>
          <w:sz w:val="20"/>
          <w:szCs w:val="20"/>
        </w:rPr>
        <w:t>Space Solar has reported completion of a detailed design study for its CASSIOPeiA satellite concept with support from UK public funding, indicating movement toward commercial-scale system engineering (</w:t>
      </w:r>
      <w:r w:rsidR="008A16C6">
        <w:rPr>
          <w:rFonts w:ascii="Times New Roman" w:eastAsiaTheme="majorEastAsia" w:hAnsi="Times New Roman" w:cs="Times New Roman"/>
          <w:sz w:val="20"/>
          <w:szCs w:val="20"/>
        </w:rPr>
        <w:t>Holmes</w:t>
      </w:r>
      <w:r w:rsidR="00A327AA" w:rsidRPr="00A327AA">
        <w:rPr>
          <w:rFonts w:ascii="Times New Roman" w:eastAsiaTheme="majorEastAsia" w:hAnsi="Times New Roman" w:cs="Times New Roman"/>
          <w:sz w:val="20"/>
          <w:szCs w:val="20"/>
        </w:rPr>
        <w:t>, 2025).</w:t>
      </w:r>
    </w:p>
    <w:p w14:paraId="15E2A557" w14:textId="77777777" w:rsidR="00007BFE" w:rsidRDefault="00E071A2" w:rsidP="00A71B2B">
      <w:pPr>
        <w:spacing w:line="240" w:lineRule="auto"/>
        <w:rPr>
          <w:rFonts w:ascii="Times New Roman" w:eastAsiaTheme="majorEastAsia" w:hAnsi="Times New Roman" w:cs="Times New Roman"/>
          <w:sz w:val="20"/>
          <w:szCs w:val="20"/>
        </w:rPr>
      </w:pPr>
      <w:r w:rsidRPr="00E071A2">
        <w:rPr>
          <w:rFonts w:ascii="Times New Roman" w:eastAsiaTheme="majorEastAsia" w:hAnsi="Times New Roman" w:cs="Times New Roman"/>
          <w:sz w:val="20"/>
          <w:szCs w:val="20"/>
        </w:rPr>
        <w:t>At the regional level, the European Space Agency</w:t>
      </w:r>
      <w:r w:rsidR="00A327AA">
        <w:rPr>
          <w:rFonts w:ascii="Times New Roman" w:eastAsiaTheme="majorEastAsia" w:hAnsi="Times New Roman" w:cs="Times New Roman"/>
          <w:sz w:val="20"/>
          <w:szCs w:val="20"/>
        </w:rPr>
        <w:t xml:space="preserve"> (ESA)</w:t>
      </w:r>
      <w:r w:rsidR="000E7E88" w:rsidRPr="000E7E88">
        <w:t xml:space="preserve"> </w:t>
      </w:r>
      <w:r w:rsidR="000E7E88" w:rsidRPr="000E7E88">
        <w:rPr>
          <w:rFonts w:ascii="Times New Roman" w:eastAsiaTheme="majorEastAsia" w:hAnsi="Times New Roman" w:cs="Times New Roman"/>
          <w:sz w:val="20"/>
          <w:szCs w:val="20"/>
        </w:rPr>
        <w:t>launched SOLARIS to assess SBSP feasibility for Europe, convening policymakers, energy suppliers, and space industry to evaluate technical, economic, and governance pathways (</w:t>
      </w:r>
      <w:r w:rsidR="000E7E88">
        <w:rPr>
          <w:rFonts w:ascii="Times New Roman" w:eastAsiaTheme="majorEastAsia" w:hAnsi="Times New Roman" w:cs="Times New Roman"/>
          <w:sz w:val="20"/>
          <w:szCs w:val="20"/>
        </w:rPr>
        <w:t>ESA</w:t>
      </w:r>
      <w:r w:rsidR="000E7E88" w:rsidRPr="000E7E88">
        <w:rPr>
          <w:rFonts w:ascii="Times New Roman" w:eastAsiaTheme="majorEastAsia" w:hAnsi="Times New Roman" w:cs="Times New Roman"/>
          <w:sz w:val="20"/>
          <w:szCs w:val="20"/>
        </w:rPr>
        <w:t xml:space="preserve">, </w:t>
      </w:r>
      <w:r w:rsidR="000F3B45">
        <w:rPr>
          <w:rFonts w:ascii="Times New Roman" w:eastAsiaTheme="majorEastAsia" w:hAnsi="Times New Roman" w:cs="Times New Roman"/>
          <w:sz w:val="20"/>
          <w:szCs w:val="20"/>
        </w:rPr>
        <w:t xml:space="preserve">2022, </w:t>
      </w:r>
      <w:r w:rsidR="000E7E88" w:rsidRPr="000E7E88">
        <w:rPr>
          <w:rFonts w:ascii="Times New Roman" w:eastAsiaTheme="majorEastAsia" w:hAnsi="Times New Roman" w:cs="Times New Roman"/>
          <w:sz w:val="20"/>
          <w:szCs w:val="20"/>
        </w:rPr>
        <w:t>2024</w:t>
      </w:r>
      <w:r w:rsidR="000E7E88">
        <w:rPr>
          <w:rFonts w:ascii="Times New Roman" w:eastAsiaTheme="majorEastAsia" w:hAnsi="Times New Roman" w:cs="Times New Roman"/>
          <w:sz w:val="20"/>
          <w:szCs w:val="20"/>
        </w:rPr>
        <w:t xml:space="preserve">). </w:t>
      </w:r>
      <w:r w:rsidR="000F3B45" w:rsidRPr="000F3B45">
        <w:rPr>
          <w:rFonts w:ascii="Times New Roman" w:eastAsiaTheme="majorEastAsia" w:hAnsi="Times New Roman" w:cs="Times New Roman"/>
          <w:sz w:val="20"/>
          <w:szCs w:val="20"/>
        </w:rPr>
        <w:t>Rather than pursuing rapid unilateral deployment, ESA is using SOLARIS to determine whether SBSP can be developed in a way that is economically credible, environmentally responsible, and consistent with international space governance norms</w:t>
      </w:r>
      <w:r w:rsidR="000F3B45">
        <w:rPr>
          <w:rFonts w:ascii="Times New Roman" w:eastAsiaTheme="majorEastAsia" w:hAnsi="Times New Roman" w:cs="Times New Roman"/>
          <w:sz w:val="20"/>
          <w:szCs w:val="20"/>
        </w:rPr>
        <w:t xml:space="preserve"> (</w:t>
      </w:r>
      <w:r w:rsidR="0041375E" w:rsidRPr="0041375E">
        <w:rPr>
          <w:rFonts w:ascii="Times New Roman" w:eastAsiaTheme="majorEastAsia" w:hAnsi="Times New Roman" w:cs="Times New Roman"/>
          <w:sz w:val="20"/>
          <w:szCs w:val="20"/>
        </w:rPr>
        <w:t xml:space="preserve">Italian Institute for International Political Studies </w:t>
      </w:r>
      <w:r w:rsidR="0041375E">
        <w:rPr>
          <w:rFonts w:ascii="Times New Roman" w:eastAsiaTheme="majorEastAsia" w:hAnsi="Times New Roman" w:cs="Times New Roman"/>
          <w:sz w:val="20"/>
          <w:szCs w:val="20"/>
        </w:rPr>
        <w:t>[</w:t>
      </w:r>
      <w:r w:rsidR="000F3B45">
        <w:rPr>
          <w:rFonts w:ascii="Times New Roman" w:eastAsiaTheme="majorEastAsia" w:hAnsi="Times New Roman" w:cs="Times New Roman"/>
          <w:sz w:val="20"/>
          <w:szCs w:val="20"/>
        </w:rPr>
        <w:t>ISPI</w:t>
      </w:r>
      <w:r w:rsidR="0041375E">
        <w:rPr>
          <w:rFonts w:ascii="Times New Roman" w:eastAsiaTheme="majorEastAsia" w:hAnsi="Times New Roman" w:cs="Times New Roman"/>
          <w:sz w:val="20"/>
          <w:szCs w:val="20"/>
        </w:rPr>
        <w:t>]</w:t>
      </w:r>
      <w:r w:rsidR="000F3B45">
        <w:rPr>
          <w:rFonts w:ascii="Times New Roman" w:eastAsiaTheme="majorEastAsia" w:hAnsi="Times New Roman" w:cs="Times New Roman"/>
          <w:sz w:val="20"/>
          <w:szCs w:val="20"/>
        </w:rPr>
        <w:t>, 2025)</w:t>
      </w:r>
      <w:r w:rsidR="000F3B45" w:rsidRPr="000F3B45">
        <w:rPr>
          <w:rFonts w:ascii="Times New Roman" w:eastAsiaTheme="majorEastAsia" w:hAnsi="Times New Roman" w:cs="Times New Roman"/>
          <w:sz w:val="20"/>
          <w:szCs w:val="20"/>
        </w:rPr>
        <w:t>.</w:t>
      </w:r>
    </w:p>
    <w:p w14:paraId="0A96C3DF" w14:textId="60361579" w:rsidR="00007BFE" w:rsidRDefault="00007BFE" w:rsidP="00A71B2B">
      <w:pPr>
        <w:spacing w:line="240" w:lineRule="auto"/>
        <w:rPr>
          <w:rFonts w:ascii="Times New Roman" w:hAnsi="Times New Roman" w:cs="Times New Roman"/>
          <w:sz w:val="20"/>
          <w:szCs w:val="20"/>
        </w:rPr>
      </w:pPr>
      <w:r w:rsidRPr="00007BFE">
        <w:rPr>
          <w:rFonts w:ascii="Times New Roman" w:hAnsi="Times New Roman" w:cs="Times New Roman"/>
          <w:sz w:val="20"/>
          <w:szCs w:val="20"/>
        </w:rPr>
        <w:t>Across regions, SBSP initiatives are increasingly converging around modular space architectures, wireless power transmission demonstrations, and emerging institutional pathways to coordinate spectrum access, orbital sustainability, safety, and market formation. While commercialization remains nascent, market indicators suggest a gradual shift from purely speculative research toward early-stage commercial positioning. Global Market Insights (2024) estimates the global SBSP market at approximately USD 3.1 billion in 2024, with projected growth of 7.9% annually through 2034. Taken together, these trends indicate that SBSP may be entering a pre-commercial policy window in which governance design and international coordination</w:t>
      </w:r>
      <w:r>
        <w:rPr>
          <w:rFonts w:ascii="Times New Roman" w:hAnsi="Times New Roman" w:cs="Times New Roman"/>
          <w:sz w:val="20"/>
          <w:szCs w:val="20"/>
        </w:rPr>
        <w:t xml:space="preserve">, </w:t>
      </w:r>
      <w:r w:rsidRPr="00007BFE">
        <w:rPr>
          <w:rFonts w:ascii="Times New Roman" w:hAnsi="Times New Roman" w:cs="Times New Roman"/>
          <w:sz w:val="20"/>
          <w:szCs w:val="20"/>
        </w:rPr>
        <w:t>not technical performance alone</w:t>
      </w:r>
      <w:r>
        <w:rPr>
          <w:rFonts w:ascii="Times New Roman" w:hAnsi="Times New Roman" w:cs="Times New Roman"/>
          <w:sz w:val="20"/>
          <w:szCs w:val="20"/>
        </w:rPr>
        <w:t xml:space="preserve">, </w:t>
      </w:r>
      <w:r w:rsidRPr="00007BFE">
        <w:rPr>
          <w:rFonts w:ascii="Times New Roman" w:hAnsi="Times New Roman" w:cs="Times New Roman"/>
          <w:sz w:val="20"/>
          <w:szCs w:val="20"/>
        </w:rPr>
        <w:t>are likely to be decisive determinants of scale-up (Batty, 2025; NASA, 2024).</w:t>
      </w:r>
    </w:p>
    <w:p w14:paraId="75CFFE01" w14:textId="3D914F2A" w:rsidR="00E071A2" w:rsidRPr="00E071A2" w:rsidRDefault="00E071A2" w:rsidP="00A71B2B">
      <w:pPr>
        <w:pStyle w:val="Heading2"/>
        <w:rPr>
          <w:rFonts w:ascii="Times New Roman" w:hAnsi="Times New Roman" w:cs="Times New Roman"/>
          <w:b/>
          <w:bCs/>
          <w:color w:val="auto"/>
          <w:sz w:val="20"/>
          <w:szCs w:val="20"/>
        </w:rPr>
      </w:pPr>
      <w:r w:rsidRPr="00E071A2">
        <w:rPr>
          <w:rFonts w:ascii="Times New Roman" w:hAnsi="Times New Roman" w:cs="Times New Roman"/>
          <w:b/>
          <w:bCs/>
          <w:color w:val="auto"/>
          <w:sz w:val="20"/>
          <w:szCs w:val="20"/>
        </w:rPr>
        <w:t>2.</w:t>
      </w:r>
      <w:r w:rsidR="00BC07AE">
        <w:rPr>
          <w:rFonts w:ascii="Times New Roman" w:hAnsi="Times New Roman" w:cs="Times New Roman"/>
          <w:b/>
          <w:bCs/>
          <w:color w:val="auto"/>
          <w:sz w:val="20"/>
          <w:szCs w:val="20"/>
        </w:rPr>
        <w:t>3</w:t>
      </w:r>
      <w:r w:rsidRPr="00E071A2">
        <w:rPr>
          <w:rFonts w:ascii="Times New Roman" w:hAnsi="Times New Roman" w:cs="Times New Roman"/>
          <w:b/>
          <w:bCs/>
          <w:color w:val="auto"/>
          <w:sz w:val="20"/>
          <w:szCs w:val="20"/>
        </w:rPr>
        <w:t xml:space="preserve"> Fragmented Governance and Market Failures</w:t>
      </w:r>
    </w:p>
    <w:p w14:paraId="7F288A49" w14:textId="04EAFD8F" w:rsidR="00553B1E" w:rsidRPr="00553B1E" w:rsidRDefault="00553B1E" w:rsidP="00B33113">
      <w:pPr>
        <w:spacing w:line="240" w:lineRule="auto"/>
        <w:rPr>
          <w:rFonts w:ascii="Times New Roman" w:hAnsi="Times New Roman" w:cs="Times New Roman"/>
          <w:sz w:val="20"/>
          <w:szCs w:val="20"/>
        </w:rPr>
      </w:pPr>
      <w:r w:rsidRPr="00553B1E">
        <w:rPr>
          <w:rFonts w:ascii="Times New Roman" w:hAnsi="Times New Roman" w:cs="Times New Roman"/>
          <w:sz w:val="20"/>
          <w:szCs w:val="20"/>
        </w:rPr>
        <w:t>Despite growing technological momentum, SBSP continues to face a set of policy challenges that</w:t>
      </w:r>
      <w:r w:rsidR="001C72D8">
        <w:rPr>
          <w:rFonts w:ascii="Times New Roman" w:hAnsi="Times New Roman" w:cs="Times New Roman"/>
          <w:sz w:val="20"/>
          <w:szCs w:val="20"/>
        </w:rPr>
        <w:t xml:space="preserve">, </w:t>
      </w:r>
      <w:r w:rsidRPr="00553B1E">
        <w:rPr>
          <w:rFonts w:ascii="Times New Roman" w:hAnsi="Times New Roman" w:cs="Times New Roman"/>
          <w:sz w:val="20"/>
          <w:szCs w:val="20"/>
        </w:rPr>
        <w:t>if left unresolved</w:t>
      </w:r>
      <w:r w:rsidR="001C72D8">
        <w:rPr>
          <w:rFonts w:ascii="Times New Roman" w:hAnsi="Times New Roman" w:cs="Times New Roman"/>
          <w:sz w:val="20"/>
          <w:szCs w:val="20"/>
        </w:rPr>
        <w:t xml:space="preserve">, </w:t>
      </w:r>
      <w:r w:rsidRPr="00553B1E">
        <w:rPr>
          <w:rFonts w:ascii="Times New Roman" w:hAnsi="Times New Roman" w:cs="Times New Roman"/>
          <w:sz w:val="20"/>
          <w:szCs w:val="20"/>
        </w:rPr>
        <w:t>will constrain sustainable</w:t>
      </w:r>
      <w:r w:rsidR="00777841">
        <w:rPr>
          <w:rFonts w:ascii="Times New Roman" w:hAnsi="Times New Roman" w:cs="Times New Roman"/>
          <w:sz w:val="20"/>
          <w:szCs w:val="20"/>
        </w:rPr>
        <w:t xml:space="preserve"> and fair</w:t>
      </w:r>
      <w:r w:rsidRPr="00553B1E">
        <w:rPr>
          <w:rFonts w:ascii="Times New Roman" w:hAnsi="Times New Roman" w:cs="Times New Roman"/>
          <w:sz w:val="20"/>
          <w:szCs w:val="20"/>
        </w:rPr>
        <w:t xml:space="preserve"> market development. </w:t>
      </w:r>
    </w:p>
    <w:p w14:paraId="3AF1D7CD" w14:textId="6C8F72FB" w:rsidR="00553B1E" w:rsidRPr="00553B1E" w:rsidRDefault="00553B1E" w:rsidP="00B33113">
      <w:pPr>
        <w:spacing w:line="240" w:lineRule="auto"/>
        <w:rPr>
          <w:rFonts w:ascii="Times New Roman" w:hAnsi="Times New Roman" w:cs="Times New Roman"/>
          <w:sz w:val="20"/>
          <w:szCs w:val="20"/>
        </w:rPr>
      </w:pPr>
      <w:r w:rsidRPr="00553B1E">
        <w:rPr>
          <w:rFonts w:ascii="Times New Roman" w:hAnsi="Times New Roman" w:cs="Times New Roman"/>
          <w:sz w:val="20"/>
          <w:szCs w:val="20"/>
        </w:rPr>
        <w:t xml:space="preserve">At its core, SBSP is constrained less by technological feasibility than by fragmented governance, regulatory uncertainty, and weak or incomplete market signals in a global </w:t>
      </w:r>
      <w:r w:rsidR="007A1261" w:rsidRPr="00553B1E">
        <w:rPr>
          <w:rFonts w:ascii="Times New Roman" w:hAnsi="Times New Roman" w:cs="Times New Roman"/>
          <w:sz w:val="20"/>
          <w:szCs w:val="20"/>
        </w:rPr>
        <w:t>commons’</w:t>
      </w:r>
      <w:r w:rsidRPr="00553B1E">
        <w:rPr>
          <w:rFonts w:ascii="Times New Roman" w:hAnsi="Times New Roman" w:cs="Times New Roman"/>
          <w:sz w:val="20"/>
          <w:szCs w:val="20"/>
        </w:rPr>
        <w:t xml:space="preserve"> environment. Recent assessments by the NASA and independent policy analysts emphasize that unresolved legal and regulatory questions surrounding spectrum allocation, orbital safety, cross-border energy transmission, and liability allocation remain major impediments to commercial deployment (</w:t>
      </w:r>
      <w:r w:rsidR="009A00EB" w:rsidRPr="00553B1E">
        <w:rPr>
          <w:rFonts w:ascii="Times New Roman" w:hAnsi="Times New Roman" w:cs="Times New Roman"/>
          <w:sz w:val="20"/>
          <w:szCs w:val="20"/>
        </w:rPr>
        <w:t>Batty, 2025</w:t>
      </w:r>
      <w:r w:rsidR="009A00EB">
        <w:rPr>
          <w:rFonts w:ascii="Times New Roman" w:hAnsi="Times New Roman" w:cs="Times New Roman"/>
          <w:sz w:val="20"/>
          <w:szCs w:val="20"/>
        </w:rPr>
        <w:t xml:space="preserve">; </w:t>
      </w:r>
      <w:r w:rsidRPr="00553B1E">
        <w:rPr>
          <w:rFonts w:ascii="Times New Roman" w:hAnsi="Times New Roman" w:cs="Times New Roman"/>
          <w:sz w:val="20"/>
          <w:szCs w:val="20"/>
        </w:rPr>
        <w:t>NASA, 2024).</w:t>
      </w:r>
    </w:p>
    <w:p w14:paraId="2B86A6A5" w14:textId="1909033D" w:rsidR="00553B1E" w:rsidRPr="00553B1E" w:rsidRDefault="00553B1E" w:rsidP="00B33113">
      <w:pPr>
        <w:spacing w:line="240" w:lineRule="auto"/>
        <w:rPr>
          <w:rFonts w:ascii="Times New Roman" w:hAnsi="Times New Roman" w:cs="Times New Roman"/>
          <w:sz w:val="20"/>
          <w:szCs w:val="20"/>
        </w:rPr>
      </w:pPr>
      <w:r w:rsidRPr="00553B1E">
        <w:rPr>
          <w:rFonts w:ascii="Times New Roman" w:hAnsi="Times New Roman" w:cs="Times New Roman"/>
          <w:sz w:val="20"/>
          <w:szCs w:val="20"/>
        </w:rPr>
        <w:t>The central policy problem confronting SBSP is fragmented governance. No single regulatory framework currently addresses SBSP as an integrated system spanning space infrastructure, international law, energy markets, and spectrum governance. Existing space law instruments</w:t>
      </w:r>
      <w:r w:rsidR="009A00EB">
        <w:rPr>
          <w:rFonts w:ascii="Times New Roman" w:hAnsi="Times New Roman" w:cs="Times New Roman"/>
          <w:sz w:val="20"/>
          <w:szCs w:val="20"/>
        </w:rPr>
        <w:t xml:space="preserve">, </w:t>
      </w:r>
      <w:r w:rsidRPr="00553B1E">
        <w:rPr>
          <w:rFonts w:ascii="Times New Roman" w:hAnsi="Times New Roman" w:cs="Times New Roman"/>
          <w:sz w:val="20"/>
          <w:szCs w:val="20"/>
        </w:rPr>
        <w:t xml:space="preserve">most notably the Outer Space Treaty of </w:t>
      </w:r>
      <w:r w:rsidR="000614DF" w:rsidRPr="00553B1E">
        <w:rPr>
          <w:rFonts w:ascii="Times New Roman" w:hAnsi="Times New Roman" w:cs="Times New Roman"/>
          <w:sz w:val="20"/>
          <w:szCs w:val="20"/>
        </w:rPr>
        <w:t>1967</w:t>
      </w:r>
      <w:r w:rsidR="00C30A09">
        <w:rPr>
          <w:rStyle w:val="FootnoteReference"/>
          <w:rFonts w:ascii="Times New Roman" w:hAnsi="Times New Roman" w:cs="Times New Roman"/>
          <w:sz w:val="20"/>
          <w:szCs w:val="20"/>
        </w:rPr>
        <w:footnoteReference w:id="1"/>
      </w:r>
      <w:r w:rsidR="000614DF">
        <w:rPr>
          <w:rFonts w:ascii="Times New Roman" w:hAnsi="Times New Roman" w:cs="Times New Roman"/>
          <w:sz w:val="20"/>
          <w:szCs w:val="20"/>
        </w:rPr>
        <w:t>,</w:t>
      </w:r>
      <w:r w:rsidR="000614DF" w:rsidRPr="00553B1E">
        <w:rPr>
          <w:rFonts w:ascii="Times New Roman" w:hAnsi="Times New Roman" w:cs="Times New Roman"/>
          <w:sz w:val="20"/>
          <w:szCs w:val="20"/>
        </w:rPr>
        <w:t xml:space="preserve"> were</w:t>
      </w:r>
      <w:r w:rsidRPr="00553B1E">
        <w:rPr>
          <w:rFonts w:ascii="Times New Roman" w:hAnsi="Times New Roman" w:cs="Times New Roman"/>
          <w:sz w:val="20"/>
          <w:szCs w:val="20"/>
        </w:rPr>
        <w:t xml:space="preserve"> not designed to govern large-scale commercial energy generation and transmission from orbit and therefore provide limited operational guidance for SBSP deployment.</w:t>
      </w:r>
    </w:p>
    <w:p w14:paraId="78FB1D92" w14:textId="6BDE19A6" w:rsidR="00553B1E" w:rsidRPr="00553B1E" w:rsidRDefault="00553B1E" w:rsidP="00B33113">
      <w:pPr>
        <w:spacing w:line="240" w:lineRule="auto"/>
        <w:rPr>
          <w:rFonts w:ascii="Times New Roman" w:hAnsi="Times New Roman" w:cs="Times New Roman"/>
          <w:sz w:val="20"/>
          <w:szCs w:val="20"/>
        </w:rPr>
      </w:pPr>
      <w:r w:rsidRPr="00553B1E">
        <w:rPr>
          <w:rFonts w:ascii="Times New Roman" w:hAnsi="Times New Roman" w:cs="Times New Roman"/>
          <w:sz w:val="20"/>
          <w:szCs w:val="20"/>
        </w:rPr>
        <w:t>Regulatory ambiguity further discourages private investment. Unclear liability regimes related to orbital debris, interference with existing satellite systems, and the safety of wireless energy transmission increase perceived risk and raise financing costs</w:t>
      </w:r>
      <w:r w:rsidR="002A6530">
        <w:rPr>
          <w:rFonts w:ascii="Times New Roman" w:hAnsi="Times New Roman" w:cs="Times New Roman"/>
          <w:sz w:val="20"/>
          <w:szCs w:val="20"/>
        </w:rPr>
        <w:t xml:space="preserve"> (Boley &amp; Byers, 202</w:t>
      </w:r>
      <w:r w:rsidR="009B4ACD">
        <w:rPr>
          <w:rFonts w:ascii="Times New Roman" w:hAnsi="Times New Roman" w:cs="Times New Roman"/>
          <w:sz w:val="20"/>
          <w:szCs w:val="20"/>
        </w:rPr>
        <w:t>3</w:t>
      </w:r>
      <w:r w:rsidR="002A6530">
        <w:rPr>
          <w:rFonts w:ascii="Times New Roman" w:hAnsi="Times New Roman" w:cs="Times New Roman"/>
          <w:sz w:val="20"/>
          <w:szCs w:val="20"/>
        </w:rPr>
        <w:t>; Hobe et al., 2015; Jakhu &amp; Pelton 2017; Pelton 20</w:t>
      </w:r>
      <w:r w:rsidR="00F94732">
        <w:rPr>
          <w:rFonts w:ascii="Times New Roman" w:hAnsi="Times New Roman" w:cs="Times New Roman"/>
          <w:sz w:val="20"/>
          <w:szCs w:val="20"/>
        </w:rPr>
        <w:t>13</w:t>
      </w:r>
      <w:r w:rsidR="002A6530">
        <w:rPr>
          <w:rFonts w:ascii="Times New Roman" w:hAnsi="Times New Roman" w:cs="Times New Roman"/>
          <w:sz w:val="20"/>
          <w:szCs w:val="20"/>
        </w:rPr>
        <w:t xml:space="preserve">; </w:t>
      </w:r>
      <w:r w:rsidR="002A4292">
        <w:rPr>
          <w:rFonts w:ascii="Times New Roman" w:hAnsi="Times New Roman" w:cs="Times New Roman"/>
          <w:sz w:val="20"/>
          <w:szCs w:val="20"/>
        </w:rPr>
        <w:t xml:space="preserve">Putro et al., 2023; </w:t>
      </w:r>
      <w:r w:rsidR="002A6530">
        <w:rPr>
          <w:rFonts w:ascii="Times New Roman" w:hAnsi="Times New Roman" w:cs="Times New Roman"/>
          <w:sz w:val="20"/>
          <w:szCs w:val="20"/>
        </w:rPr>
        <w:t>Weeden &amp; Chow, 2012)</w:t>
      </w:r>
      <w:r w:rsidRPr="00553B1E">
        <w:rPr>
          <w:rFonts w:ascii="Times New Roman" w:hAnsi="Times New Roman" w:cs="Times New Roman"/>
          <w:sz w:val="20"/>
          <w:szCs w:val="20"/>
        </w:rPr>
        <w:t>.</w:t>
      </w:r>
    </w:p>
    <w:p w14:paraId="25A701B5" w14:textId="77777777" w:rsidR="00553B1E" w:rsidRPr="00553B1E" w:rsidRDefault="00553B1E" w:rsidP="00B33113">
      <w:pPr>
        <w:spacing w:line="240" w:lineRule="auto"/>
        <w:rPr>
          <w:rFonts w:ascii="Times New Roman" w:hAnsi="Times New Roman" w:cs="Times New Roman"/>
          <w:sz w:val="20"/>
          <w:szCs w:val="20"/>
        </w:rPr>
      </w:pPr>
      <w:r w:rsidRPr="00553B1E">
        <w:rPr>
          <w:rFonts w:ascii="Times New Roman" w:hAnsi="Times New Roman" w:cs="Times New Roman"/>
          <w:sz w:val="20"/>
          <w:szCs w:val="20"/>
        </w:rPr>
        <w:t>Equity concerns compound these governance challenges. Early SBSP initiatives are concentrated among capital-rich and technologically advanced states, creating risks of market concentration and exclusion of developing economies from access to orbital energy resources. Absent governance mechanisms that address benefit-sharing and inclusive participation, SBSP markets may replicate existing global energy inequalities rather than alleviate them (Goldthau &amp; Sovacool, 2012).</w:t>
      </w:r>
    </w:p>
    <w:p w14:paraId="681C4E9B" w14:textId="39B2812C" w:rsidR="003C5CB8" w:rsidRDefault="00553B1E" w:rsidP="00B33113">
      <w:pPr>
        <w:spacing w:line="240" w:lineRule="auto"/>
        <w:rPr>
          <w:rFonts w:ascii="Times New Roman" w:hAnsi="Times New Roman" w:cs="Times New Roman"/>
          <w:sz w:val="20"/>
          <w:szCs w:val="20"/>
        </w:rPr>
      </w:pPr>
      <w:r w:rsidRPr="00553B1E">
        <w:rPr>
          <w:rFonts w:ascii="Times New Roman" w:hAnsi="Times New Roman" w:cs="Times New Roman"/>
          <w:sz w:val="20"/>
          <w:szCs w:val="20"/>
        </w:rPr>
        <w:t xml:space="preserve">Finally, price discovery for SBSP remains underdeveloped. Determining the true cost of SBSP is difficult without policy instruments capable of internalizing lifecycle environmental impacts, transmission </w:t>
      </w:r>
      <w:r w:rsidR="009A00EB" w:rsidRPr="00553B1E">
        <w:rPr>
          <w:rFonts w:ascii="Times New Roman" w:hAnsi="Times New Roman" w:cs="Times New Roman"/>
          <w:sz w:val="20"/>
          <w:szCs w:val="20"/>
        </w:rPr>
        <w:t>risks,</w:t>
      </w:r>
      <w:r w:rsidRPr="00553B1E">
        <w:rPr>
          <w:rFonts w:ascii="Times New Roman" w:hAnsi="Times New Roman" w:cs="Times New Roman"/>
          <w:sz w:val="20"/>
          <w:szCs w:val="20"/>
        </w:rPr>
        <w:t xml:space="preserve"> </w:t>
      </w:r>
      <w:r w:rsidR="009A00EB">
        <w:rPr>
          <w:rFonts w:ascii="Times New Roman" w:hAnsi="Times New Roman" w:cs="Times New Roman"/>
          <w:sz w:val="20"/>
          <w:szCs w:val="20"/>
        </w:rPr>
        <w:t xml:space="preserve">and </w:t>
      </w:r>
      <w:r w:rsidRPr="00553B1E">
        <w:rPr>
          <w:rFonts w:ascii="Times New Roman" w:hAnsi="Times New Roman" w:cs="Times New Roman"/>
          <w:sz w:val="20"/>
          <w:szCs w:val="20"/>
        </w:rPr>
        <w:t xml:space="preserve">long-term </w:t>
      </w:r>
      <w:r w:rsidRPr="00553B1E">
        <w:rPr>
          <w:rFonts w:ascii="Times New Roman" w:hAnsi="Times New Roman" w:cs="Times New Roman"/>
          <w:sz w:val="20"/>
          <w:szCs w:val="20"/>
        </w:rPr>
        <w:lastRenderedPageBreak/>
        <w:t>infrastructure and liability costs. In the absence of such mechanisms, market prices are unlikely to reflect the full social value or risk profile of SBSP, reinforcing underinvestment and slowing market formation.</w:t>
      </w:r>
    </w:p>
    <w:p w14:paraId="3F71BF76" w14:textId="77777777" w:rsidR="00B55EFE" w:rsidRPr="00E071A2" w:rsidRDefault="00B55EFE" w:rsidP="00B33113">
      <w:pPr>
        <w:spacing w:line="240" w:lineRule="auto"/>
        <w:rPr>
          <w:rFonts w:ascii="Times New Roman" w:hAnsi="Times New Roman" w:cs="Times New Roman"/>
          <w:sz w:val="20"/>
          <w:szCs w:val="20"/>
        </w:rPr>
      </w:pPr>
    </w:p>
    <w:p w14:paraId="284BA7C4" w14:textId="1411ADE5" w:rsidR="13182AF5" w:rsidRPr="00C4022B" w:rsidRDefault="25437709" w:rsidP="00A71B2B">
      <w:pPr>
        <w:pStyle w:val="Heading10"/>
        <w:numPr>
          <w:ilvl w:val="0"/>
          <w:numId w:val="32"/>
        </w:numPr>
      </w:pPr>
      <w:r w:rsidRPr="09617BC6">
        <w:t>A Market-Oriented Policy Architecture for SBSP</w:t>
      </w:r>
    </w:p>
    <w:p w14:paraId="74B18A6D" w14:textId="1E649A85" w:rsidR="13182AF5" w:rsidRPr="003C1716" w:rsidRDefault="25437709" w:rsidP="00A71B2B">
      <w:pPr>
        <w:spacing w:line="240" w:lineRule="auto"/>
        <w:rPr>
          <w:rFonts w:ascii="Times New Roman" w:eastAsiaTheme="majorEastAsia" w:hAnsi="Times New Roman" w:cs="Times New Roman"/>
          <w:b/>
          <w:bCs/>
          <w:sz w:val="20"/>
          <w:szCs w:val="20"/>
        </w:rPr>
      </w:pPr>
      <w:r w:rsidRPr="003C1716">
        <w:rPr>
          <w:rFonts w:ascii="Times New Roman" w:eastAsiaTheme="majorEastAsia" w:hAnsi="Times New Roman" w:cs="Times New Roman"/>
          <w:b/>
          <w:bCs/>
          <w:sz w:val="20"/>
          <w:szCs w:val="20"/>
        </w:rPr>
        <w:t>3.1 Architectural Principles</w:t>
      </w:r>
    </w:p>
    <w:p w14:paraId="2CECAB6D" w14:textId="6B62E8EF" w:rsidR="006D477E" w:rsidRPr="006D477E" w:rsidRDefault="006D477E" w:rsidP="00A71B2B">
      <w:pPr>
        <w:spacing w:line="240" w:lineRule="auto"/>
        <w:rPr>
          <w:rFonts w:ascii="Times New Roman" w:eastAsia="Times New Roman" w:hAnsi="Times New Roman" w:cs="Times New Roman"/>
          <w:sz w:val="20"/>
          <w:szCs w:val="20"/>
        </w:rPr>
      </w:pPr>
      <w:r w:rsidRPr="006D477E">
        <w:rPr>
          <w:rFonts w:ascii="Times New Roman" w:eastAsia="Times New Roman" w:hAnsi="Times New Roman" w:cs="Times New Roman"/>
          <w:sz w:val="20"/>
          <w:szCs w:val="20"/>
        </w:rPr>
        <w:t>The realization of SBSP depends not only on scientific and engineering advances but also on the existence of proactive, coherent, and durable policy frameworks. As Verbruggen (2011) argues, ambitious technological systems require robust institutional architectures to prevent fragmentation, establish legitimacy, and sustain long-term political support</w:t>
      </w:r>
      <w:r w:rsidR="00C30A09">
        <w:rPr>
          <w:rFonts w:ascii="Times New Roman" w:eastAsia="Times New Roman" w:hAnsi="Times New Roman" w:cs="Times New Roman"/>
          <w:sz w:val="20"/>
          <w:szCs w:val="20"/>
        </w:rPr>
        <w:t xml:space="preserve">, </w:t>
      </w:r>
      <w:r w:rsidRPr="006D477E">
        <w:rPr>
          <w:rFonts w:ascii="Times New Roman" w:eastAsia="Times New Roman" w:hAnsi="Times New Roman" w:cs="Times New Roman"/>
          <w:sz w:val="20"/>
          <w:szCs w:val="20"/>
        </w:rPr>
        <w:t xml:space="preserve">particularly within the context of global </w:t>
      </w:r>
      <w:r w:rsidR="00734F27">
        <w:rPr>
          <w:rFonts w:ascii="Times New Roman" w:eastAsia="Times New Roman" w:hAnsi="Times New Roman" w:cs="Times New Roman"/>
          <w:sz w:val="20"/>
          <w:szCs w:val="20"/>
        </w:rPr>
        <w:t xml:space="preserve">energy and environmental </w:t>
      </w:r>
      <w:r w:rsidRPr="006D477E">
        <w:rPr>
          <w:rFonts w:ascii="Times New Roman" w:eastAsia="Times New Roman" w:hAnsi="Times New Roman" w:cs="Times New Roman"/>
          <w:sz w:val="20"/>
          <w:szCs w:val="20"/>
        </w:rPr>
        <w:t xml:space="preserve">governance. </w:t>
      </w:r>
    </w:p>
    <w:p w14:paraId="7AFF7CBA" w14:textId="0DC1B804" w:rsidR="008F76AB" w:rsidRDefault="007D2A68" w:rsidP="00A71B2B">
      <w:pPr>
        <w:spacing w:line="240" w:lineRule="auto"/>
        <w:rPr>
          <w:rFonts w:ascii="Times New Roman" w:eastAsia="Times New Roman" w:hAnsi="Times New Roman" w:cs="Times New Roman"/>
          <w:sz w:val="20"/>
          <w:szCs w:val="20"/>
        </w:rPr>
      </w:pPr>
      <w:r w:rsidRPr="007D2A68">
        <w:rPr>
          <w:rFonts w:ascii="Times New Roman" w:eastAsia="Times New Roman" w:hAnsi="Times New Roman" w:cs="Times New Roman"/>
          <w:sz w:val="20"/>
          <w:szCs w:val="20"/>
        </w:rPr>
        <w:t xml:space="preserve">The development of a coherent policy architecture for SBSP requires the articulation of guiding principles before the selection of specific policy instruments. </w:t>
      </w:r>
      <w:r>
        <w:rPr>
          <w:rFonts w:ascii="Times New Roman" w:eastAsia="Times New Roman" w:hAnsi="Times New Roman" w:cs="Times New Roman"/>
          <w:sz w:val="20"/>
          <w:szCs w:val="20"/>
        </w:rPr>
        <w:t>G</w:t>
      </w:r>
      <w:r w:rsidRPr="007D2A68">
        <w:rPr>
          <w:rFonts w:ascii="Times New Roman" w:eastAsia="Times New Roman" w:hAnsi="Times New Roman" w:cs="Times New Roman"/>
          <w:sz w:val="20"/>
          <w:szCs w:val="20"/>
        </w:rPr>
        <w:t xml:space="preserve">uiding principles provide the normative and structural foundation that aligns institutions, reduces coordination failures, and ensures consistency across jurisdictions and policy domains (Abbott &amp; Snidal, 2000; Verbruggen, 2011). Jasanoff (2004) argues that governance systems and technologies are co-produced, meaning that institutional design choices shape technological trajectories as much as technical capabilities themselves. Without shared principles, fragmented governance arrangements </w:t>
      </w:r>
      <w:r w:rsidR="00C30A09">
        <w:rPr>
          <w:rFonts w:ascii="Times New Roman" w:eastAsia="Times New Roman" w:hAnsi="Times New Roman" w:cs="Times New Roman"/>
          <w:sz w:val="20"/>
          <w:szCs w:val="20"/>
        </w:rPr>
        <w:t>increase vulnerability to</w:t>
      </w:r>
      <w:r w:rsidRPr="007D2A68">
        <w:rPr>
          <w:rFonts w:ascii="Times New Roman" w:eastAsia="Times New Roman" w:hAnsi="Times New Roman" w:cs="Times New Roman"/>
          <w:sz w:val="20"/>
          <w:szCs w:val="20"/>
        </w:rPr>
        <w:t xml:space="preserve"> regulatory inconsistency, jurisdictional conflict, and market distortion. Conversely, clearly articulated principles</w:t>
      </w:r>
      <w:r>
        <w:rPr>
          <w:rFonts w:ascii="Times New Roman" w:eastAsia="Times New Roman" w:hAnsi="Times New Roman" w:cs="Times New Roman"/>
          <w:sz w:val="20"/>
          <w:szCs w:val="20"/>
        </w:rPr>
        <w:t xml:space="preserve"> </w:t>
      </w:r>
      <w:r w:rsidRPr="007D2A68">
        <w:rPr>
          <w:rFonts w:ascii="Times New Roman" w:eastAsia="Times New Roman" w:hAnsi="Times New Roman" w:cs="Times New Roman"/>
          <w:sz w:val="20"/>
          <w:szCs w:val="20"/>
        </w:rPr>
        <w:t>enable policymakers to translate high-level objectives into compatible administrative, incentive, and market mechanisms a</w:t>
      </w:r>
      <w:r w:rsidR="00F04E6D">
        <w:rPr>
          <w:rFonts w:ascii="Times New Roman" w:eastAsia="Times New Roman" w:hAnsi="Times New Roman" w:cs="Times New Roman"/>
          <w:sz w:val="20"/>
          <w:szCs w:val="20"/>
        </w:rPr>
        <w:t>t different scales</w:t>
      </w:r>
      <w:r w:rsidRPr="007D2A68">
        <w:rPr>
          <w:rFonts w:ascii="Times New Roman" w:eastAsia="Times New Roman" w:hAnsi="Times New Roman" w:cs="Times New Roman"/>
          <w:sz w:val="20"/>
          <w:szCs w:val="20"/>
        </w:rPr>
        <w:t>.</w:t>
      </w:r>
      <w:r w:rsidR="00FF589D">
        <w:rPr>
          <w:rFonts w:ascii="Times New Roman" w:eastAsia="Times New Roman" w:hAnsi="Times New Roman" w:cs="Times New Roman"/>
          <w:sz w:val="20"/>
          <w:szCs w:val="20"/>
        </w:rPr>
        <w:t xml:space="preserve"> </w:t>
      </w:r>
      <w:r w:rsidRPr="007D2A68">
        <w:rPr>
          <w:rFonts w:ascii="Times New Roman" w:eastAsia="Times New Roman" w:hAnsi="Times New Roman" w:cs="Times New Roman"/>
          <w:sz w:val="20"/>
          <w:szCs w:val="20"/>
        </w:rPr>
        <w:t>Moreover, guiding principles enhance legitimacy and investment credibility. Goldthau and Sovacool (2012) show that global energy systems lacking clear normative foundations often face distributional conflict and political resistance, undermining long-term stability.</w:t>
      </w:r>
    </w:p>
    <w:p w14:paraId="4444DE9E" w14:textId="486E2A05" w:rsidR="00B50DDF" w:rsidRDefault="00825848" w:rsidP="00A71B2B">
      <w:pPr>
        <w:spacing w:line="240" w:lineRule="auto"/>
        <w:rPr>
          <w:rFonts w:ascii="Times New Roman" w:eastAsia="Times New Roman" w:hAnsi="Times New Roman" w:cs="Times New Roman"/>
          <w:sz w:val="20"/>
          <w:szCs w:val="20"/>
        </w:rPr>
      </w:pPr>
      <w:r w:rsidRPr="00825848">
        <w:rPr>
          <w:rFonts w:ascii="Times New Roman" w:eastAsia="Times New Roman" w:hAnsi="Times New Roman" w:cs="Times New Roman"/>
          <w:sz w:val="20"/>
          <w:szCs w:val="20"/>
        </w:rPr>
        <w:t>SBSP, as a capital-intensive, cross-border, and space-based energy system, exemplifies this challenge.</w:t>
      </w:r>
      <w:r w:rsidR="00FF589D">
        <w:rPr>
          <w:rFonts w:ascii="Times New Roman" w:eastAsia="Times New Roman" w:hAnsi="Times New Roman" w:cs="Times New Roman"/>
          <w:sz w:val="20"/>
          <w:szCs w:val="20"/>
        </w:rPr>
        <w:t xml:space="preserve"> </w:t>
      </w:r>
      <w:r w:rsidR="000E75A5">
        <w:rPr>
          <w:rFonts w:ascii="Times New Roman" w:eastAsia="Times New Roman" w:hAnsi="Times New Roman" w:cs="Times New Roman"/>
          <w:sz w:val="20"/>
          <w:szCs w:val="20"/>
        </w:rPr>
        <w:t>Guiding pri</w:t>
      </w:r>
      <w:r w:rsidR="007D2A68" w:rsidRPr="007D2A68">
        <w:rPr>
          <w:rFonts w:ascii="Times New Roman" w:eastAsia="Times New Roman" w:hAnsi="Times New Roman" w:cs="Times New Roman"/>
          <w:sz w:val="20"/>
          <w:szCs w:val="20"/>
        </w:rPr>
        <w:t>nciples function as coordination devices that signal policy intent to public and private actors, reduce regulatory uncertainty, and support predictable market formation. In this sense, guiding principles are not abstract ideals but operational prerequisites: they structure decision-making, discipline policy design, and ensure that SBSP governance evolves in a manner that is coherent, inclusive, and capable of supporting large-scale deployment over time.</w:t>
      </w:r>
    </w:p>
    <w:p w14:paraId="7846245A" w14:textId="6F81C6DA" w:rsidR="00B50DDF" w:rsidRDefault="00B50DDF" w:rsidP="00A71B2B">
      <w:pPr>
        <w:spacing w:line="240" w:lineRule="auto"/>
        <w:rPr>
          <w:rFonts w:ascii="Times New Roman" w:eastAsia="Times New Roman" w:hAnsi="Times New Roman" w:cs="Times New Roman"/>
          <w:sz w:val="20"/>
          <w:szCs w:val="20"/>
        </w:rPr>
      </w:pPr>
      <w:r w:rsidRPr="00B50DDF">
        <w:rPr>
          <w:rFonts w:ascii="Times New Roman" w:eastAsia="Times New Roman" w:hAnsi="Times New Roman" w:cs="Times New Roman"/>
          <w:sz w:val="20"/>
          <w:szCs w:val="20"/>
        </w:rPr>
        <w:t>The following section examines six widely recognized guiding principles</w:t>
      </w:r>
      <w:r w:rsidR="00C65EB0">
        <w:rPr>
          <w:rFonts w:ascii="Times New Roman" w:eastAsia="Times New Roman" w:hAnsi="Times New Roman" w:cs="Times New Roman"/>
          <w:sz w:val="20"/>
          <w:szCs w:val="20"/>
        </w:rPr>
        <w:t xml:space="preserve"> in international relations</w:t>
      </w:r>
      <w:r w:rsidRPr="00B50DDF">
        <w:rPr>
          <w:rFonts w:ascii="Times New Roman" w:eastAsia="Times New Roman" w:hAnsi="Times New Roman" w:cs="Times New Roman"/>
          <w:sz w:val="20"/>
          <w:szCs w:val="20"/>
        </w:rPr>
        <w:t xml:space="preserve"> </w:t>
      </w:r>
      <w:r w:rsidR="004667F6">
        <w:rPr>
          <w:rFonts w:ascii="Times New Roman" w:eastAsia="Times New Roman" w:hAnsi="Times New Roman" w:cs="Times New Roman"/>
          <w:sz w:val="20"/>
          <w:szCs w:val="20"/>
        </w:rPr>
        <w:t xml:space="preserve">and technology governance literature </w:t>
      </w:r>
      <w:r w:rsidRPr="00B50DDF">
        <w:rPr>
          <w:rFonts w:ascii="Times New Roman" w:eastAsia="Times New Roman" w:hAnsi="Times New Roman" w:cs="Times New Roman"/>
          <w:sz w:val="20"/>
          <w:szCs w:val="20"/>
        </w:rPr>
        <w:t>and their underlying rationales as applied to SBSP.</w:t>
      </w:r>
    </w:p>
    <w:p w14:paraId="58C03A78" w14:textId="73F5A1D4" w:rsidR="006D477E" w:rsidRPr="00B50DDF" w:rsidRDefault="006D477E" w:rsidP="00A71B2B">
      <w:pPr>
        <w:pStyle w:val="ListParagraph"/>
        <w:numPr>
          <w:ilvl w:val="0"/>
          <w:numId w:val="36"/>
        </w:numPr>
        <w:spacing w:line="240" w:lineRule="auto"/>
        <w:rPr>
          <w:rFonts w:ascii="Times New Roman" w:eastAsia="Times New Roman" w:hAnsi="Times New Roman" w:cs="Times New Roman"/>
          <w:sz w:val="20"/>
          <w:szCs w:val="20"/>
        </w:rPr>
      </w:pPr>
      <w:r w:rsidRPr="00B50DDF">
        <w:rPr>
          <w:rFonts w:ascii="Times New Roman" w:eastAsia="Times New Roman" w:hAnsi="Times New Roman" w:cs="Times New Roman"/>
          <w:sz w:val="20"/>
          <w:szCs w:val="20"/>
        </w:rPr>
        <w:t>Universality</w:t>
      </w:r>
    </w:p>
    <w:p w14:paraId="499E1736" w14:textId="5B4B2558" w:rsidR="00690BF7" w:rsidRPr="00690BF7" w:rsidRDefault="00690BF7" w:rsidP="00A71B2B">
      <w:pPr>
        <w:spacing w:line="240" w:lineRule="auto"/>
        <w:rPr>
          <w:rFonts w:ascii="Times New Roman" w:eastAsia="Times New Roman" w:hAnsi="Times New Roman" w:cs="Times New Roman"/>
          <w:sz w:val="20"/>
          <w:szCs w:val="20"/>
        </w:rPr>
      </w:pPr>
      <w:r w:rsidRPr="00690BF7">
        <w:rPr>
          <w:rFonts w:ascii="Times New Roman" w:eastAsia="Times New Roman" w:hAnsi="Times New Roman" w:cs="Times New Roman"/>
          <w:sz w:val="20"/>
          <w:szCs w:val="20"/>
        </w:rPr>
        <w:t>International policy scholarship consistently finds that technologies operating across borders require governance principles that prioritize inclusivity and collective coordination. Abbott and Snidal (2000) show that early-stage governance of emerging technologies relies on broadly inclusive norms to lower participation barriers and reduce coordination costs</w:t>
      </w:r>
      <w:r w:rsidR="003455E2">
        <w:rPr>
          <w:rFonts w:ascii="Times New Roman" w:eastAsia="Times New Roman" w:hAnsi="Times New Roman" w:cs="Times New Roman"/>
          <w:sz w:val="20"/>
          <w:szCs w:val="20"/>
        </w:rPr>
        <w:t xml:space="preserve">. </w:t>
      </w:r>
    </w:p>
    <w:p w14:paraId="3D8094CF" w14:textId="3E0D0FDE" w:rsidR="00690BF7" w:rsidRPr="00690BF7" w:rsidRDefault="00690BF7" w:rsidP="00A71B2B">
      <w:pPr>
        <w:spacing w:line="240" w:lineRule="auto"/>
        <w:rPr>
          <w:rFonts w:ascii="Times New Roman" w:eastAsia="Times New Roman" w:hAnsi="Times New Roman" w:cs="Times New Roman"/>
          <w:sz w:val="20"/>
          <w:szCs w:val="20"/>
        </w:rPr>
      </w:pPr>
      <w:r w:rsidRPr="00690BF7">
        <w:rPr>
          <w:rFonts w:ascii="Times New Roman" w:eastAsia="Times New Roman" w:hAnsi="Times New Roman" w:cs="Times New Roman"/>
          <w:sz w:val="20"/>
          <w:szCs w:val="20"/>
        </w:rPr>
        <w:t xml:space="preserve">Applied to SBSP, the principle of universality holds that access to orbital infrastructure, spectrum, and SBSP-generated energy should not be confined to early-moving or capital-rich </w:t>
      </w:r>
      <w:r w:rsidR="002453BB" w:rsidRPr="00690BF7">
        <w:rPr>
          <w:rFonts w:ascii="Times New Roman" w:eastAsia="Times New Roman" w:hAnsi="Times New Roman" w:cs="Times New Roman"/>
          <w:sz w:val="20"/>
          <w:szCs w:val="20"/>
        </w:rPr>
        <w:t>states but</w:t>
      </w:r>
      <w:r w:rsidRPr="00690BF7">
        <w:rPr>
          <w:rFonts w:ascii="Times New Roman" w:eastAsia="Times New Roman" w:hAnsi="Times New Roman" w:cs="Times New Roman"/>
          <w:sz w:val="20"/>
          <w:szCs w:val="20"/>
        </w:rPr>
        <w:t xml:space="preserve"> instead reflect the shared character of the orbital and electromagnetic domains in which SBSP operates. Absent this principle, early-mover advantages could enable monopolization of orbital assets and entrench unequal market structures.</w:t>
      </w:r>
    </w:p>
    <w:p w14:paraId="30C7172F" w14:textId="72ABDE20" w:rsidR="00690BF7" w:rsidRPr="00690BF7" w:rsidRDefault="00690BF7" w:rsidP="00A71B2B">
      <w:pPr>
        <w:spacing w:line="240" w:lineRule="auto"/>
        <w:rPr>
          <w:rFonts w:ascii="Times New Roman" w:eastAsia="Times New Roman" w:hAnsi="Times New Roman" w:cs="Times New Roman"/>
          <w:sz w:val="20"/>
          <w:szCs w:val="20"/>
        </w:rPr>
      </w:pPr>
      <w:r w:rsidRPr="00690BF7">
        <w:rPr>
          <w:rFonts w:ascii="Times New Roman" w:eastAsia="Times New Roman" w:hAnsi="Times New Roman" w:cs="Times New Roman"/>
          <w:sz w:val="20"/>
          <w:szCs w:val="20"/>
        </w:rPr>
        <w:t>Goldthau and Sovacool (2012) caution that global energy systems lacking universal access and benefit-sharing mechanisms tend to reproduce existing inequalities rather than mitigate them. Universality therefore underpins governance arrangements that promote inclusive participation, technology diffusion, and equitable access to SBSP-generated energy, particularly for developing and energy-insecure regions.</w:t>
      </w:r>
      <w:r w:rsidR="002507D9">
        <w:rPr>
          <w:rFonts w:ascii="Times New Roman" w:eastAsia="Times New Roman" w:hAnsi="Times New Roman" w:cs="Times New Roman"/>
          <w:sz w:val="20"/>
          <w:szCs w:val="20"/>
        </w:rPr>
        <w:t xml:space="preserve"> </w:t>
      </w:r>
      <w:r w:rsidR="007D2A68">
        <w:rPr>
          <w:rFonts w:ascii="Times New Roman" w:eastAsia="Times New Roman" w:hAnsi="Times New Roman" w:cs="Times New Roman"/>
          <w:sz w:val="20"/>
          <w:szCs w:val="20"/>
        </w:rPr>
        <w:t>U</w:t>
      </w:r>
      <w:r w:rsidRPr="00690BF7">
        <w:rPr>
          <w:rFonts w:ascii="Times New Roman" w:eastAsia="Times New Roman" w:hAnsi="Times New Roman" w:cs="Times New Roman"/>
          <w:sz w:val="20"/>
          <w:szCs w:val="20"/>
        </w:rPr>
        <w:t>niversality also serves a functional market role. Fragmented governance and selective access heighten regulatory uncertainty, discourage private investment, and impede price discovery. A universal policy orientation</w:t>
      </w:r>
      <w:r w:rsidR="007D2A68">
        <w:rPr>
          <w:rFonts w:ascii="Times New Roman" w:eastAsia="Times New Roman" w:hAnsi="Times New Roman" w:cs="Times New Roman"/>
          <w:sz w:val="20"/>
          <w:szCs w:val="20"/>
        </w:rPr>
        <w:t xml:space="preserve">, </w:t>
      </w:r>
      <w:r w:rsidRPr="00690BF7">
        <w:rPr>
          <w:rFonts w:ascii="Times New Roman" w:eastAsia="Times New Roman" w:hAnsi="Times New Roman" w:cs="Times New Roman"/>
          <w:sz w:val="20"/>
          <w:szCs w:val="20"/>
        </w:rPr>
        <w:t>embedded in international agreements, coordinated standards, and open-access market rules</w:t>
      </w:r>
      <w:r w:rsidR="007D2A68">
        <w:rPr>
          <w:rFonts w:ascii="Times New Roman" w:eastAsia="Times New Roman" w:hAnsi="Times New Roman" w:cs="Times New Roman"/>
          <w:sz w:val="20"/>
          <w:szCs w:val="20"/>
        </w:rPr>
        <w:t xml:space="preserve">, </w:t>
      </w:r>
      <w:r w:rsidRPr="00690BF7">
        <w:rPr>
          <w:rFonts w:ascii="Times New Roman" w:eastAsia="Times New Roman" w:hAnsi="Times New Roman" w:cs="Times New Roman"/>
          <w:sz w:val="20"/>
          <w:szCs w:val="20"/>
        </w:rPr>
        <w:t xml:space="preserve">reduces uncertainty and helps internalize system-wide risks and benefits. </w:t>
      </w:r>
    </w:p>
    <w:p w14:paraId="0F7E566A" w14:textId="251198F8" w:rsidR="007D2A68" w:rsidRDefault="00690BF7" w:rsidP="00A71B2B">
      <w:pPr>
        <w:spacing w:line="240" w:lineRule="auto"/>
        <w:rPr>
          <w:rFonts w:ascii="Times New Roman" w:eastAsia="Times New Roman" w:hAnsi="Times New Roman" w:cs="Times New Roman"/>
          <w:sz w:val="20"/>
          <w:szCs w:val="20"/>
        </w:rPr>
      </w:pPr>
      <w:r w:rsidRPr="00690BF7">
        <w:rPr>
          <w:rFonts w:ascii="Times New Roman" w:eastAsia="Times New Roman" w:hAnsi="Times New Roman" w:cs="Times New Roman"/>
          <w:sz w:val="20"/>
          <w:szCs w:val="20"/>
        </w:rPr>
        <w:t>Operationalizing universality requires open-access research platforms, inclusive international partnerships, and structured technology transfer mechanisms that lower entry barriers for developing economies (Sovacool &amp; Linn</w:t>
      </w:r>
      <w:r w:rsidR="00B66F25">
        <w:rPr>
          <w:rFonts w:ascii="Times New Roman" w:eastAsia="Times New Roman" w:hAnsi="Times New Roman" w:cs="Times New Roman"/>
          <w:sz w:val="20"/>
          <w:szCs w:val="20"/>
        </w:rPr>
        <w:t>e</w:t>
      </w:r>
      <w:r w:rsidRPr="00690BF7">
        <w:rPr>
          <w:rFonts w:ascii="Times New Roman" w:eastAsia="Times New Roman" w:hAnsi="Times New Roman" w:cs="Times New Roman"/>
          <w:sz w:val="20"/>
          <w:szCs w:val="20"/>
        </w:rPr>
        <w:t>r, 2016).</w:t>
      </w:r>
    </w:p>
    <w:p w14:paraId="77B4B655" w14:textId="7D56618C" w:rsidR="006D477E" w:rsidRPr="007D2A68" w:rsidRDefault="006D477E" w:rsidP="00A71B2B">
      <w:pPr>
        <w:pStyle w:val="ListParagraph"/>
        <w:numPr>
          <w:ilvl w:val="0"/>
          <w:numId w:val="36"/>
        </w:numPr>
        <w:spacing w:line="240" w:lineRule="auto"/>
        <w:rPr>
          <w:rFonts w:ascii="Times New Roman" w:eastAsia="Times New Roman" w:hAnsi="Times New Roman" w:cs="Times New Roman"/>
          <w:sz w:val="20"/>
          <w:szCs w:val="20"/>
        </w:rPr>
      </w:pPr>
      <w:r w:rsidRPr="007D2A68">
        <w:rPr>
          <w:rFonts w:ascii="Times New Roman" w:eastAsia="Times New Roman" w:hAnsi="Times New Roman" w:cs="Times New Roman"/>
          <w:sz w:val="20"/>
          <w:szCs w:val="20"/>
        </w:rPr>
        <w:lastRenderedPageBreak/>
        <w:t>Global Equity</w:t>
      </w:r>
    </w:p>
    <w:p w14:paraId="00CC4F09" w14:textId="54DF3807" w:rsidR="000614DF" w:rsidRPr="000614DF" w:rsidRDefault="000614DF"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sidRPr="000614DF">
        <w:rPr>
          <w:rFonts w:ascii="Times New Roman" w:eastAsia="Times New Roman" w:hAnsi="Times New Roman" w:cs="Times New Roman"/>
          <w:sz w:val="20"/>
          <w:szCs w:val="20"/>
        </w:rPr>
        <w:t xml:space="preserve">he principle of global equity addresses how costs, risks, benefits, and decision-making authority are distributed across the SBSP ecosystem. Technologies that operate across borders and rely on shared global commons have historically reproduced asymmetries between capital-rich and developing states unless equity considerations are embedded at the design stage of governance frameworks (Goldthau &amp; Sovacool, 2012; Okereke, 2010). </w:t>
      </w:r>
    </w:p>
    <w:p w14:paraId="6A0E537C" w14:textId="7B20ADE2" w:rsidR="000614DF" w:rsidRPr="000614DF" w:rsidRDefault="000614DF" w:rsidP="00A71B2B">
      <w:pPr>
        <w:spacing w:line="240" w:lineRule="auto"/>
        <w:rPr>
          <w:rFonts w:ascii="Times New Roman" w:eastAsia="Times New Roman" w:hAnsi="Times New Roman" w:cs="Times New Roman"/>
          <w:sz w:val="20"/>
          <w:szCs w:val="20"/>
        </w:rPr>
      </w:pPr>
      <w:r w:rsidRPr="000614DF">
        <w:rPr>
          <w:rFonts w:ascii="Times New Roman" w:eastAsia="Times New Roman" w:hAnsi="Times New Roman" w:cs="Times New Roman"/>
          <w:sz w:val="20"/>
          <w:szCs w:val="20"/>
        </w:rPr>
        <w:t xml:space="preserve">Equity concerns are particularly salient for SBSP ground infrastructure. Rectenna deployment may impose land-use, environmental, or social burdens that fall disproportionately on host communities, especially in regions with weaker regulatory protections or limited bargaining power. International policy scholarship emphasizes that equitable governance must therefore account not only for access to energy outputs, but also for the distribution of environmental externalities and exposure to risk (Jasanoff, 2004). </w:t>
      </w:r>
    </w:p>
    <w:p w14:paraId="73B00B98" w14:textId="3FADDD29" w:rsidR="000614DF" w:rsidRPr="000614DF" w:rsidRDefault="000614DF" w:rsidP="00A71B2B">
      <w:pPr>
        <w:spacing w:line="240" w:lineRule="auto"/>
        <w:rPr>
          <w:rFonts w:ascii="Times New Roman" w:eastAsia="Times New Roman" w:hAnsi="Times New Roman" w:cs="Times New Roman"/>
          <w:sz w:val="20"/>
          <w:szCs w:val="20"/>
        </w:rPr>
      </w:pPr>
      <w:r w:rsidRPr="000614DF">
        <w:rPr>
          <w:rFonts w:ascii="Times New Roman" w:eastAsia="Times New Roman" w:hAnsi="Times New Roman" w:cs="Times New Roman"/>
          <w:sz w:val="20"/>
          <w:szCs w:val="20"/>
        </w:rPr>
        <w:t>A globally equitable SBSP policy framework consequently requires differentiated and redistributive mechanisms. These include concessional financing, technology transfer arrangements, capacity-building programs, and inclusive decision-making institutions that reflect varying levels of economic and technological capability among states. Okereke (2010) argues that such differentiation is essential to avoid equity blind spots in global climate and energy governance and to ensure that emerging technologies contribute to sustainable development rather than deepen existing inequalities.</w:t>
      </w:r>
    </w:p>
    <w:p w14:paraId="2B33B97A" w14:textId="302417C1" w:rsidR="006D477E" w:rsidRPr="006D477E" w:rsidRDefault="006D477E" w:rsidP="00A71B2B">
      <w:pPr>
        <w:pStyle w:val="ListParagraph"/>
        <w:numPr>
          <w:ilvl w:val="0"/>
          <w:numId w:val="36"/>
        </w:numPr>
        <w:spacing w:line="240" w:lineRule="auto"/>
        <w:rPr>
          <w:rFonts w:ascii="Times New Roman" w:eastAsia="Times New Roman" w:hAnsi="Times New Roman" w:cs="Times New Roman"/>
          <w:sz w:val="20"/>
          <w:szCs w:val="20"/>
        </w:rPr>
      </w:pPr>
      <w:r w:rsidRPr="006D477E">
        <w:rPr>
          <w:rFonts w:ascii="Times New Roman" w:eastAsia="Times New Roman" w:hAnsi="Times New Roman" w:cs="Times New Roman"/>
          <w:sz w:val="20"/>
          <w:szCs w:val="20"/>
        </w:rPr>
        <w:t>Market Efficiency</w:t>
      </w:r>
    </w:p>
    <w:p w14:paraId="5EB007DA" w14:textId="320CDC89" w:rsidR="00993E4A" w:rsidRPr="00993E4A" w:rsidRDefault="00993E4A"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sidRPr="00993E4A">
        <w:rPr>
          <w:rFonts w:ascii="Times New Roman" w:eastAsia="Times New Roman" w:hAnsi="Times New Roman" w:cs="Times New Roman"/>
          <w:sz w:val="20"/>
          <w:szCs w:val="20"/>
        </w:rPr>
        <w:t>he principle of market efficiency determines whether technology can scale beyond demonstration projects into a competitive and self-sustaining energy system. Market efficiency emphasizes the allocation of resources to their highest-value use, the reduction of waste and duplication, and the creation of incentives that reward innovation rather than incumbency. In the absence of efficient market structures, emerging technologies</w:t>
      </w:r>
      <w:r w:rsidR="00BD2B8A">
        <w:rPr>
          <w:rFonts w:ascii="Times New Roman" w:eastAsia="Times New Roman" w:hAnsi="Times New Roman" w:cs="Times New Roman"/>
          <w:sz w:val="20"/>
          <w:szCs w:val="20"/>
        </w:rPr>
        <w:t>,</w:t>
      </w:r>
      <w:r w:rsidRPr="00993E4A">
        <w:rPr>
          <w:rFonts w:ascii="Times New Roman" w:eastAsia="Times New Roman" w:hAnsi="Times New Roman" w:cs="Times New Roman"/>
          <w:sz w:val="20"/>
          <w:szCs w:val="20"/>
        </w:rPr>
        <w:t xml:space="preserve"> </w:t>
      </w:r>
      <w:r w:rsidR="00BD2B8A" w:rsidRPr="00993E4A">
        <w:rPr>
          <w:rFonts w:ascii="Times New Roman" w:eastAsia="Times New Roman" w:hAnsi="Times New Roman" w:cs="Times New Roman"/>
          <w:sz w:val="20"/>
          <w:szCs w:val="20"/>
        </w:rPr>
        <w:t>such as SBSP</w:t>
      </w:r>
      <w:r w:rsidR="00BD2B8A">
        <w:rPr>
          <w:rFonts w:ascii="Times New Roman" w:eastAsia="Times New Roman" w:hAnsi="Times New Roman" w:cs="Times New Roman"/>
          <w:sz w:val="20"/>
          <w:szCs w:val="20"/>
        </w:rPr>
        <w:t>,</w:t>
      </w:r>
      <w:r w:rsidR="00BD2B8A" w:rsidRPr="00993E4A">
        <w:rPr>
          <w:rFonts w:ascii="Times New Roman" w:eastAsia="Times New Roman" w:hAnsi="Times New Roman" w:cs="Times New Roman"/>
          <w:sz w:val="20"/>
          <w:szCs w:val="20"/>
        </w:rPr>
        <w:t xml:space="preserve"> </w:t>
      </w:r>
      <w:r w:rsidRPr="00993E4A">
        <w:rPr>
          <w:rFonts w:ascii="Times New Roman" w:eastAsia="Times New Roman" w:hAnsi="Times New Roman" w:cs="Times New Roman"/>
          <w:sz w:val="20"/>
          <w:szCs w:val="20"/>
        </w:rPr>
        <w:t>operating in capital-intensive and high-risk environments</w:t>
      </w:r>
      <w:r w:rsidR="00BD2B8A">
        <w:rPr>
          <w:rFonts w:ascii="Times New Roman" w:eastAsia="Times New Roman" w:hAnsi="Times New Roman" w:cs="Times New Roman"/>
          <w:sz w:val="20"/>
          <w:szCs w:val="20"/>
        </w:rPr>
        <w:t xml:space="preserve"> </w:t>
      </w:r>
      <w:r w:rsidRPr="00993E4A">
        <w:rPr>
          <w:rFonts w:ascii="Times New Roman" w:eastAsia="Times New Roman" w:hAnsi="Times New Roman" w:cs="Times New Roman"/>
          <w:sz w:val="20"/>
          <w:szCs w:val="20"/>
        </w:rPr>
        <w:t>tend to suffer from cost inflation, lock-in to suboptimal designs, and excessive dependence on public subsidies (</w:t>
      </w:r>
      <w:r w:rsidR="00BD2B8A" w:rsidRPr="00BD2B8A">
        <w:rPr>
          <w:rFonts w:ascii="Times New Roman" w:eastAsia="Times New Roman" w:hAnsi="Times New Roman" w:cs="Times New Roman"/>
          <w:sz w:val="20"/>
          <w:szCs w:val="20"/>
        </w:rPr>
        <w:t>Arthur, 1989; Nelson &amp; Winter, 1982; Flyvbjerg, 20</w:t>
      </w:r>
      <w:r w:rsidR="00BD2B8A">
        <w:rPr>
          <w:rFonts w:ascii="Times New Roman" w:eastAsia="Times New Roman" w:hAnsi="Times New Roman" w:cs="Times New Roman"/>
          <w:sz w:val="20"/>
          <w:szCs w:val="20"/>
        </w:rPr>
        <w:t>09</w:t>
      </w:r>
      <w:r w:rsidR="00BD2B8A" w:rsidRPr="00BD2B8A">
        <w:rPr>
          <w:rFonts w:ascii="Times New Roman" w:eastAsia="Times New Roman" w:hAnsi="Times New Roman" w:cs="Times New Roman"/>
          <w:sz w:val="20"/>
          <w:szCs w:val="20"/>
        </w:rPr>
        <w:t>; Mazzucato, 2013</w:t>
      </w:r>
      <w:r w:rsidRPr="00993E4A">
        <w:rPr>
          <w:rFonts w:ascii="Times New Roman" w:eastAsia="Times New Roman" w:hAnsi="Times New Roman" w:cs="Times New Roman"/>
          <w:sz w:val="20"/>
          <w:szCs w:val="20"/>
        </w:rPr>
        <w:t>).</w:t>
      </w:r>
    </w:p>
    <w:p w14:paraId="45A15951" w14:textId="46599BFC" w:rsidR="00993E4A" w:rsidRPr="00993E4A" w:rsidRDefault="00993E4A" w:rsidP="00A71B2B">
      <w:pPr>
        <w:spacing w:line="240" w:lineRule="auto"/>
        <w:rPr>
          <w:rFonts w:ascii="Times New Roman" w:eastAsia="Times New Roman" w:hAnsi="Times New Roman" w:cs="Times New Roman"/>
          <w:sz w:val="20"/>
          <w:szCs w:val="20"/>
        </w:rPr>
      </w:pPr>
      <w:r w:rsidRPr="00993E4A">
        <w:rPr>
          <w:rFonts w:ascii="Times New Roman" w:eastAsia="Times New Roman" w:hAnsi="Times New Roman" w:cs="Times New Roman"/>
          <w:sz w:val="20"/>
          <w:szCs w:val="20"/>
        </w:rPr>
        <w:t>For SBSP, market efficiency requires governance arrangements that actively lower entry barriers while preserving competitive pressure. Interoperable technical standards for wireless power transmission, rectenna performance, and grid integration reduce fragmentation and enable firms to scale across jurisdictions without redundant redesign costs. Competitive procurement mechanisms</w:t>
      </w:r>
      <w:r w:rsidR="005F38A6">
        <w:rPr>
          <w:rFonts w:ascii="Times New Roman" w:eastAsia="Times New Roman" w:hAnsi="Times New Roman" w:cs="Times New Roman"/>
          <w:sz w:val="20"/>
          <w:szCs w:val="20"/>
        </w:rPr>
        <w:t xml:space="preserve">, </w:t>
      </w:r>
      <w:r w:rsidRPr="00993E4A">
        <w:rPr>
          <w:rFonts w:ascii="Times New Roman" w:eastAsia="Times New Roman" w:hAnsi="Times New Roman" w:cs="Times New Roman"/>
          <w:sz w:val="20"/>
          <w:szCs w:val="20"/>
        </w:rPr>
        <w:t>such as auctions, performance-based contracts, and time-limited franchises</w:t>
      </w:r>
      <w:r w:rsidR="005F38A6">
        <w:rPr>
          <w:rFonts w:ascii="Times New Roman" w:eastAsia="Times New Roman" w:hAnsi="Times New Roman" w:cs="Times New Roman"/>
          <w:sz w:val="20"/>
          <w:szCs w:val="20"/>
        </w:rPr>
        <w:t xml:space="preserve">, </w:t>
      </w:r>
      <w:r w:rsidRPr="00993E4A">
        <w:rPr>
          <w:rFonts w:ascii="Times New Roman" w:eastAsia="Times New Roman" w:hAnsi="Times New Roman" w:cs="Times New Roman"/>
          <w:sz w:val="20"/>
          <w:szCs w:val="20"/>
        </w:rPr>
        <w:t>help discipline costs and ensure that public support is allocated to the most capable and innovative actors rather than early movers alone. Scalable pricing frameworks further support efficient market formation by aligning revenue signals with system-level value, including reliability, emissions avoidance, and long-term energy security (Goldthau &amp; Sovacool, 2012).</w:t>
      </w:r>
    </w:p>
    <w:p w14:paraId="7B08D637" w14:textId="504317C6" w:rsidR="00993E4A" w:rsidRPr="00993E4A" w:rsidRDefault="00993E4A"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Technology and i</w:t>
      </w:r>
      <w:r w:rsidRPr="00993E4A">
        <w:rPr>
          <w:rFonts w:ascii="Times New Roman" w:eastAsia="Times New Roman" w:hAnsi="Times New Roman" w:cs="Times New Roman"/>
          <w:sz w:val="20"/>
          <w:szCs w:val="20"/>
        </w:rPr>
        <w:t>nnovation policy scholarship highlights that efficient markets for emerging technologies do not arise spontaneously but must be deliberately designed through policy (Rodrik, 2004; Verbruggen, 2011). For SBSP, market efficiency is therefore not synonymous with deregulation. Instead, it requires a rule-based policy architecture that coordinates standards, pricing, and competition across national boundaries. When embedded in international agreements and domestic regulatory systems, the principle of market efficiency supports innovation, attracts private investment, and accelerates cost reduction</w:t>
      </w:r>
      <w:r>
        <w:rPr>
          <w:rFonts w:ascii="Times New Roman" w:eastAsia="Times New Roman" w:hAnsi="Times New Roman" w:cs="Times New Roman"/>
          <w:sz w:val="20"/>
          <w:szCs w:val="20"/>
        </w:rPr>
        <w:t xml:space="preserve">, </w:t>
      </w:r>
      <w:r w:rsidRPr="00993E4A">
        <w:rPr>
          <w:rFonts w:ascii="Times New Roman" w:eastAsia="Times New Roman" w:hAnsi="Times New Roman" w:cs="Times New Roman"/>
          <w:sz w:val="20"/>
          <w:szCs w:val="20"/>
        </w:rPr>
        <w:t>transforming SBSP from a technologically promising concept into a viable component of global clean energy markets.</w:t>
      </w:r>
    </w:p>
    <w:p w14:paraId="33B15352" w14:textId="119ACF21" w:rsidR="006D477E" w:rsidRPr="006D477E" w:rsidRDefault="006D477E" w:rsidP="00A71B2B">
      <w:pPr>
        <w:pStyle w:val="ListParagraph"/>
        <w:numPr>
          <w:ilvl w:val="0"/>
          <w:numId w:val="36"/>
        </w:numPr>
        <w:spacing w:line="240" w:lineRule="auto"/>
        <w:rPr>
          <w:rFonts w:ascii="Times New Roman" w:eastAsia="Times New Roman" w:hAnsi="Times New Roman" w:cs="Times New Roman"/>
          <w:sz w:val="20"/>
          <w:szCs w:val="20"/>
        </w:rPr>
      </w:pPr>
      <w:r w:rsidRPr="006D477E">
        <w:rPr>
          <w:rFonts w:ascii="Times New Roman" w:eastAsia="Times New Roman" w:hAnsi="Times New Roman" w:cs="Times New Roman"/>
          <w:sz w:val="20"/>
          <w:szCs w:val="20"/>
        </w:rPr>
        <w:t>Sovereignty</w:t>
      </w:r>
    </w:p>
    <w:p w14:paraId="53D68C38" w14:textId="6849AE5B" w:rsidR="006068B9" w:rsidRPr="006068B9" w:rsidRDefault="006068B9"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sidRPr="006068B9">
        <w:rPr>
          <w:rFonts w:ascii="Times New Roman" w:eastAsia="Times New Roman" w:hAnsi="Times New Roman" w:cs="Times New Roman"/>
          <w:sz w:val="20"/>
          <w:szCs w:val="20"/>
        </w:rPr>
        <w:t>he principle of sovereignty remains a central rationale for governing SBSP despite its operation within globally shared domains. Sovereignty affirms that states retain ultimate authority over how SBSP activities affect their territory, population, airspace, and critical infrastructure. Even when technologies operate across borders and rely on international coordination, international relations theory emphasizes that durable cooperation depends on respecting national consent and jurisdictional authority rather than bypassing them (Krasner, 1999). For SBSP, this means that national governments must retain decision-making power over rectenna siting, energy reception, safety standards, and the domestic impacts of orbital operations.</w:t>
      </w:r>
    </w:p>
    <w:p w14:paraId="47D1D799" w14:textId="5EDE0240" w:rsidR="006068B9" w:rsidRPr="006068B9" w:rsidRDefault="006068B9" w:rsidP="00A71B2B">
      <w:pPr>
        <w:spacing w:line="240" w:lineRule="auto"/>
        <w:rPr>
          <w:rFonts w:ascii="Times New Roman" w:eastAsia="Times New Roman" w:hAnsi="Times New Roman" w:cs="Times New Roman"/>
          <w:sz w:val="20"/>
          <w:szCs w:val="20"/>
        </w:rPr>
      </w:pPr>
      <w:r w:rsidRPr="006068B9">
        <w:rPr>
          <w:rFonts w:ascii="Times New Roman" w:eastAsia="Times New Roman" w:hAnsi="Times New Roman" w:cs="Times New Roman"/>
          <w:sz w:val="20"/>
          <w:szCs w:val="20"/>
        </w:rPr>
        <w:t xml:space="preserve">The importance of sovereignty is heightened by SBSP’s dual-use characteristics and its physical interface with national territory. As </w:t>
      </w:r>
      <w:r w:rsidR="00816335">
        <w:rPr>
          <w:rFonts w:ascii="Times New Roman" w:eastAsia="Times New Roman" w:hAnsi="Times New Roman" w:cs="Times New Roman"/>
          <w:sz w:val="20"/>
          <w:szCs w:val="20"/>
        </w:rPr>
        <w:t>Johnson-Freese</w:t>
      </w:r>
      <w:r w:rsidRPr="006068B9">
        <w:rPr>
          <w:rFonts w:ascii="Times New Roman" w:eastAsia="Times New Roman" w:hAnsi="Times New Roman" w:cs="Times New Roman"/>
          <w:sz w:val="20"/>
          <w:szCs w:val="20"/>
        </w:rPr>
        <w:t xml:space="preserve"> (20</w:t>
      </w:r>
      <w:r w:rsidR="00816335">
        <w:rPr>
          <w:rFonts w:ascii="Times New Roman" w:eastAsia="Times New Roman" w:hAnsi="Times New Roman" w:cs="Times New Roman"/>
          <w:sz w:val="20"/>
          <w:szCs w:val="20"/>
        </w:rPr>
        <w:t>17</w:t>
      </w:r>
      <w:r w:rsidRPr="006068B9">
        <w:rPr>
          <w:rFonts w:ascii="Times New Roman" w:eastAsia="Times New Roman" w:hAnsi="Times New Roman" w:cs="Times New Roman"/>
          <w:sz w:val="20"/>
          <w:szCs w:val="20"/>
        </w:rPr>
        <w:t xml:space="preserve">) argue, large-scale space infrastructure introduces new governance </w:t>
      </w:r>
      <w:r w:rsidRPr="006068B9">
        <w:rPr>
          <w:rFonts w:ascii="Times New Roman" w:eastAsia="Times New Roman" w:hAnsi="Times New Roman" w:cs="Times New Roman"/>
          <w:sz w:val="20"/>
          <w:szCs w:val="20"/>
        </w:rPr>
        <w:lastRenderedPageBreak/>
        <w:t xml:space="preserve">challenges that intersect with national security, environmental regulation, and public safety, all of which remain core sovereign responsibilities. </w:t>
      </w:r>
    </w:p>
    <w:p w14:paraId="19D77EEC" w14:textId="453475A7" w:rsidR="006068B9" w:rsidRPr="006068B9" w:rsidRDefault="004B039C"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 the meanwhile</w:t>
      </w:r>
      <w:r w:rsidR="006068B9" w:rsidRPr="006068B9">
        <w:rPr>
          <w:rFonts w:ascii="Times New Roman" w:eastAsia="Times New Roman" w:hAnsi="Times New Roman" w:cs="Times New Roman"/>
          <w:sz w:val="20"/>
          <w:szCs w:val="20"/>
        </w:rPr>
        <w:t>, sovereignty does not imply unilateralism. International relations literature distinguishes between absolute sovereignty and coordinated sovereignty, in which states voluntarily align rules while retaining final authority over domestic implementation (Abbott &amp; Snidal, 2000). Applied to SBSP, this approach allows states to participate in globally coordinated systems for spectrum management, orbital safety, and market integration while preserving national consent over infrastructure deployment and energy governance.</w:t>
      </w:r>
    </w:p>
    <w:p w14:paraId="1C22125A" w14:textId="04F72F20" w:rsidR="006D477E" w:rsidRDefault="006D477E" w:rsidP="00A71B2B">
      <w:pPr>
        <w:pStyle w:val="ListParagraph"/>
        <w:numPr>
          <w:ilvl w:val="0"/>
          <w:numId w:val="36"/>
        </w:numPr>
        <w:spacing w:line="240" w:lineRule="auto"/>
        <w:rPr>
          <w:rFonts w:ascii="Times New Roman" w:eastAsia="Times New Roman" w:hAnsi="Times New Roman" w:cs="Times New Roman"/>
          <w:sz w:val="20"/>
          <w:szCs w:val="20"/>
        </w:rPr>
      </w:pPr>
      <w:r w:rsidRPr="006D477E">
        <w:rPr>
          <w:rFonts w:ascii="Times New Roman" w:eastAsia="Times New Roman" w:hAnsi="Times New Roman" w:cs="Times New Roman"/>
          <w:sz w:val="20"/>
          <w:szCs w:val="20"/>
        </w:rPr>
        <w:t>Institutional Feasibility</w:t>
      </w:r>
    </w:p>
    <w:p w14:paraId="5E05C48D" w14:textId="0BDEC815" w:rsidR="003B74F2" w:rsidRPr="003B74F2" w:rsidRDefault="003B74F2"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sidRPr="003B74F2">
        <w:rPr>
          <w:rFonts w:ascii="Times New Roman" w:eastAsia="Times New Roman" w:hAnsi="Times New Roman" w:cs="Times New Roman"/>
          <w:sz w:val="20"/>
          <w:szCs w:val="20"/>
        </w:rPr>
        <w:t>he principle of institutional feasibility is essential</w:t>
      </w:r>
      <w:r>
        <w:rPr>
          <w:rFonts w:ascii="Times New Roman" w:eastAsia="Times New Roman" w:hAnsi="Times New Roman" w:cs="Times New Roman"/>
          <w:sz w:val="20"/>
          <w:szCs w:val="20"/>
        </w:rPr>
        <w:t>,</w:t>
      </w:r>
      <w:r w:rsidRPr="003B74F2">
        <w:rPr>
          <w:rFonts w:ascii="Times New Roman" w:eastAsia="Times New Roman" w:hAnsi="Times New Roman" w:cs="Times New Roman"/>
          <w:sz w:val="20"/>
          <w:szCs w:val="20"/>
        </w:rPr>
        <w:t xml:space="preserve"> because effective policy architectures must be capable of implementation within </w:t>
      </w:r>
      <w:r w:rsidR="009B604D">
        <w:rPr>
          <w:rFonts w:ascii="Times New Roman" w:eastAsia="Times New Roman" w:hAnsi="Times New Roman" w:cs="Times New Roman"/>
          <w:sz w:val="20"/>
          <w:szCs w:val="20"/>
        </w:rPr>
        <w:t>existing</w:t>
      </w:r>
      <w:r w:rsidRPr="003B74F2">
        <w:rPr>
          <w:rFonts w:ascii="Times New Roman" w:eastAsia="Times New Roman" w:hAnsi="Times New Roman" w:cs="Times New Roman"/>
          <w:sz w:val="20"/>
          <w:szCs w:val="20"/>
        </w:rPr>
        <w:t xml:space="preserve"> administrative and political constraints. Complex transboundary technologies are rarely governed successfully through entirely new institutional regimes; instead, durable governance emerges when new policy objectives are embedded within existing organizations, rules, and practices that already possess legitimacy, expertise, and enforcement capacity (March &amp; Olsen, 1989;</w:t>
      </w:r>
      <w:r w:rsidR="0023192A">
        <w:rPr>
          <w:rFonts w:ascii="Times New Roman" w:eastAsia="Times New Roman" w:hAnsi="Times New Roman" w:cs="Times New Roman"/>
          <w:sz w:val="20"/>
          <w:szCs w:val="20"/>
        </w:rPr>
        <w:t xml:space="preserve"> Ostrom, 2010; Young, 2010</w:t>
      </w:r>
      <w:r w:rsidRPr="003B74F2">
        <w:rPr>
          <w:rFonts w:ascii="Times New Roman" w:eastAsia="Times New Roman" w:hAnsi="Times New Roman" w:cs="Times New Roman"/>
          <w:sz w:val="20"/>
          <w:szCs w:val="20"/>
        </w:rPr>
        <w:t xml:space="preserve">). </w:t>
      </w:r>
      <w:r w:rsidR="000A79ED" w:rsidRPr="000A79ED">
        <w:rPr>
          <w:rFonts w:ascii="Times New Roman" w:eastAsia="Times New Roman" w:hAnsi="Times New Roman" w:cs="Times New Roman"/>
          <w:sz w:val="20"/>
          <w:szCs w:val="20"/>
        </w:rPr>
        <w:t xml:space="preserve">As Jordan and Matt (2014) argue in the context of climate policy design, robust policy architectures must strike a balance between institutional stability and adaptive capacity. </w:t>
      </w:r>
    </w:p>
    <w:p w14:paraId="53BBB546" w14:textId="1E98C0E4" w:rsidR="003B74F2" w:rsidRPr="003B74F2" w:rsidRDefault="003B74F2" w:rsidP="00A71B2B">
      <w:pPr>
        <w:spacing w:line="240" w:lineRule="auto"/>
        <w:rPr>
          <w:rFonts w:ascii="Times New Roman" w:eastAsia="Times New Roman" w:hAnsi="Times New Roman" w:cs="Times New Roman"/>
          <w:sz w:val="20"/>
          <w:szCs w:val="20"/>
        </w:rPr>
      </w:pPr>
      <w:r w:rsidRPr="003B74F2">
        <w:rPr>
          <w:rFonts w:ascii="Times New Roman" w:eastAsia="Times New Roman" w:hAnsi="Times New Roman" w:cs="Times New Roman"/>
          <w:sz w:val="20"/>
          <w:szCs w:val="20"/>
        </w:rPr>
        <w:t xml:space="preserve">Public </w:t>
      </w:r>
      <w:r>
        <w:rPr>
          <w:rFonts w:ascii="Times New Roman" w:eastAsia="Times New Roman" w:hAnsi="Times New Roman" w:cs="Times New Roman"/>
          <w:sz w:val="20"/>
          <w:szCs w:val="20"/>
        </w:rPr>
        <w:t>policy scholars</w:t>
      </w:r>
      <w:r w:rsidRPr="003B74F2">
        <w:rPr>
          <w:rFonts w:ascii="Times New Roman" w:eastAsia="Times New Roman" w:hAnsi="Times New Roman" w:cs="Times New Roman"/>
          <w:sz w:val="20"/>
          <w:szCs w:val="20"/>
        </w:rPr>
        <w:t xml:space="preserve"> emphasize that institutions shape behavior by reducing transaction costs, stabilizing expectations, and providing predictable decision-making procedures</w:t>
      </w:r>
      <w:r w:rsidR="005E1928">
        <w:rPr>
          <w:rFonts w:ascii="Times New Roman" w:eastAsia="Times New Roman" w:hAnsi="Times New Roman" w:cs="Times New Roman"/>
          <w:sz w:val="20"/>
          <w:szCs w:val="20"/>
        </w:rPr>
        <w:t xml:space="preserve"> (March &amp; Olsen, 1989</w:t>
      </w:r>
      <w:r w:rsidR="00644BD6">
        <w:rPr>
          <w:rFonts w:ascii="Times New Roman" w:eastAsia="Times New Roman" w:hAnsi="Times New Roman" w:cs="Times New Roman"/>
          <w:sz w:val="20"/>
          <w:szCs w:val="20"/>
        </w:rPr>
        <w:t>;</w:t>
      </w:r>
      <w:r w:rsidR="00644BD6" w:rsidRPr="00644BD6">
        <w:rPr>
          <w:rFonts w:ascii="Times New Roman" w:eastAsia="Times New Roman" w:hAnsi="Times New Roman" w:cs="Times New Roman"/>
          <w:sz w:val="20"/>
          <w:szCs w:val="20"/>
        </w:rPr>
        <w:t xml:space="preserve"> </w:t>
      </w:r>
      <w:r w:rsidR="00644BD6">
        <w:rPr>
          <w:rFonts w:ascii="Times New Roman" w:eastAsia="Times New Roman" w:hAnsi="Times New Roman" w:cs="Times New Roman"/>
          <w:sz w:val="20"/>
          <w:szCs w:val="20"/>
        </w:rPr>
        <w:t>North, 1990</w:t>
      </w:r>
      <w:r w:rsidR="005E1928">
        <w:rPr>
          <w:rFonts w:ascii="Times New Roman" w:eastAsia="Times New Roman" w:hAnsi="Times New Roman" w:cs="Times New Roman"/>
          <w:sz w:val="20"/>
          <w:szCs w:val="20"/>
        </w:rPr>
        <w:t>)</w:t>
      </w:r>
      <w:r w:rsidRPr="003B74F2">
        <w:rPr>
          <w:rFonts w:ascii="Times New Roman" w:eastAsia="Times New Roman" w:hAnsi="Times New Roman" w:cs="Times New Roman"/>
          <w:sz w:val="20"/>
          <w:szCs w:val="20"/>
        </w:rPr>
        <w:t>. Incremental, adaptive governance approaches</w:t>
      </w:r>
      <w:r w:rsidR="005E1928">
        <w:rPr>
          <w:rFonts w:ascii="Times New Roman" w:eastAsia="Times New Roman" w:hAnsi="Times New Roman" w:cs="Times New Roman"/>
          <w:sz w:val="20"/>
          <w:szCs w:val="20"/>
        </w:rPr>
        <w:t xml:space="preserve">, </w:t>
      </w:r>
      <w:r w:rsidRPr="003B74F2">
        <w:rPr>
          <w:rFonts w:ascii="Times New Roman" w:eastAsia="Times New Roman" w:hAnsi="Times New Roman" w:cs="Times New Roman"/>
          <w:sz w:val="20"/>
          <w:szCs w:val="20"/>
        </w:rPr>
        <w:t>rather than wholesale institutional redesign</w:t>
      </w:r>
      <w:r w:rsidR="005E1928">
        <w:rPr>
          <w:rFonts w:ascii="Times New Roman" w:eastAsia="Times New Roman" w:hAnsi="Times New Roman" w:cs="Times New Roman"/>
          <w:sz w:val="20"/>
          <w:szCs w:val="20"/>
        </w:rPr>
        <w:t xml:space="preserve">, </w:t>
      </w:r>
      <w:r w:rsidRPr="003B74F2">
        <w:rPr>
          <w:rFonts w:ascii="Times New Roman" w:eastAsia="Times New Roman" w:hAnsi="Times New Roman" w:cs="Times New Roman"/>
          <w:sz w:val="20"/>
          <w:szCs w:val="20"/>
        </w:rPr>
        <w:t xml:space="preserve">are therefore more likely to secure compliance and sustained participation (Ostrom, 2010). Applied to SBSP, this implies building governance mechanisms around established international and national bodies rather than creating entirely new authorities. Organizations such as the ITU, the IEA, and the UN Committee on the Peaceful Uses of Outer Space (COPUOS) already exercise partial jurisdiction over spectrum management, energy policy coordination, and orbital governance. </w:t>
      </w:r>
      <w:r>
        <w:rPr>
          <w:rFonts w:ascii="Times New Roman" w:eastAsia="Times New Roman" w:hAnsi="Times New Roman" w:cs="Times New Roman"/>
          <w:sz w:val="20"/>
          <w:szCs w:val="20"/>
        </w:rPr>
        <w:t>At national level, taking the United States as an example, m</w:t>
      </w:r>
      <w:r w:rsidRPr="003B74F2">
        <w:rPr>
          <w:rFonts w:ascii="Times New Roman" w:eastAsia="Times New Roman" w:hAnsi="Times New Roman" w:cs="Times New Roman"/>
          <w:sz w:val="20"/>
          <w:szCs w:val="20"/>
        </w:rPr>
        <w:t>ultiple federal agencies</w:t>
      </w:r>
      <w:r>
        <w:rPr>
          <w:rFonts w:ascii="Times New Roman" w:eastAsia="Times New Roman" w:hAnsi="Times New Roman" w:cs="Times New Roman"/>
          <w:sz w:val="20"/>
          <w:szCs w:val="20"/>
        </w:rPr>
        <w:t xml:space="preserve">, such as NASA, </w:t>
      </w:r>
      <w:r w:rsidR="005E1928" w:rsidRPr="00D12FB5">
        <w:rPr>
          <w:rFonts w:ascii="Times New Roman" w:eastAsia="Times New Roman" w:hAnsi="Times New Roman" w:cs="Times New Roman"/>
          <w:sz w:val="20"/>
          <w:szCs w:val="20"/>
        </w:rPr>
        <w:t>Federal Aviation Administration</w:t>
      </w:r>
      <w:r w:rsidR="005E192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FAA</w:t>
      </w:r>
      <w:r w:rsidR="005E1928">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005E1928" w:rsidRPr="00D12FB5">
        <w:rPr>
          <w:rFonts w:ascii="Times New Roman" w:eastAsia="Times New Roman" w:hAnsi="Times New Roman" w:cs="Times New Roman"/>
          <w:sz w:val="20"/>
          <w:szCs w:val="20"/>
        </w:rPr>
        <w:t xml:space="preserve">Federal Communications Commission </w:t>
      </w:r>
      <w:r w:rsidR="005E1928">
        <w:rPr>
          <w:rFonts w:ascii="Times New Roman" w:eastAsia="Times New Roman" w:hAnsi="Times New Roman" w:cs="Times New Roman"/>
          <w:sz w:val="20"/>
          <w:szCs w:val="20"/>
        </w:rPr>
        <w:t>(</w:t>
      </w:r>
      <w:r>
        <w:rPr>
          <w:rFonts w:ascii="Times New Roman" w:eastAsia="Times New Roman" w:hAnsi="Times New Roman" w:cs="Times New Roman"/>
          <w:sz w:val="20"/>
          <w:szCs w:val="20"/>
        </w:rPr>
        <w:t>FCC</w:t>
      </w:r>
      <w:r w:rsidR="005E1928">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005E1928">
        <w:rPr>
          <w:rFonts w:ascii="Times New Roman" w:eastAsia="Times New Roman" w:hAnsi="Times New Roman" w:cs="Times New Roman"/>
          <w:sz w:val="20"/>
          <w:szCs w:val="20"/>
        </w:rPr>
        <w:t>Department of Energy (</w:t>
      </w:r>
      <w:r>
        <w:rPr>
          <w:rFonts w:ascii="Times New Roman" w:eastAsia="Times New Roman" w:hAnsi="Times New Roman" w:cs="Times New Roman"/>
          <w:sz w:val="20"/>
          <w:szCs w:val="20"/>
        </w:rPr>
        <w:t>DoE</w:t>
      </w:r>
      <w:r w:rsidR="005E1928">
        <w:rPr>
          <w:rFonts w:ascii="Times New Roman" w:eastAsia="Times New Roman" w:hAnsi="Times New Roman" w:cs="Times New Roman"/>
          <w:sz w:val="20"/>
          <w:szCs w:val="20"/>
        </w:rPr>
        <w:t>)</w:t>
      </w:r>
      <w:r>
        <w:rPr>
          <w:rFonts w:ascii="Times New Roman" w:eastAsia="Times New Roman" w:hAnsi="Times New Roman" w:cs="Times New Roman"/>
          <w:sz w:val="20"/>
          <w:szCs w:val="20"/>
        </w:rPr>
        <w:t>, etc.,</w:t>
      </w:r>
      <w:r w:rsidRPr="003B74F2">
        <w:rPr>
          <w:rFonts w:ascii="Times New Roman" w:eastAsia="Times New Roman" w:hAnsi="Times New Roman" w:cs="Times New Roman"/>
          <w:sz w:val="20"/>
          <w:szCs w:val="20"/>
        </w:rPr>
        <w:t xml:space="preserve"> already exercise partial but complementary jurisdiction over domains central to SBSP development, collectively forming an institutional ecosystem capable of supporting incremental and coordinated governance.</w:t>
      </w:r>
      <w:r>
        <w:rPr>
          <w:rFonts w:ascii="Times New Roman" w:eastAsia="Times New Roman" w:hAnsi="Times New Roman" w:cs="Times New Roman"/>
          <w:sz w:val="20"/>
          <w:szCs w:val="20"/>
        </w:rPr>
        <w:t xml:space="preserve"> </w:t>
      </w:r>
      <w:r w:rsidRPr="003B74F2">
        <w:rPr>
          <w:rFonts w:ascii="Times New Roman" w:eastAsia="Times New Roman" w:hAnsi="Times New Roman" w:cs="Times New Roman"/>
          <w:sz w:val="20"/>
          <w:szCs w:val="20"/>
        </w:rPr>
        <w:t>Leveraging these institutions allows SBSP governance to benefit from existing mandates, technical expertise, and coordination routines.</w:t>
      </w:r>
    </w:p>
    <w:p w14:paraId="49A0082B" w14:textId="4EC98CE7" w:rsidR="003B74F2" w:rsidRPr="003B74F2" w:rsidRDefault="003B74F2" w:rsidP="00A71B2B">
      <w:pPr>
        <w:spacing w:line="240" w:lineRule="auto"/>
        <w:rPr>
          <w:rFonts w:ascii="Times New Roman" w:eastAsia="Times New Roman" w:hAnsi="Times New Roman" w:cs="Times New Roman"/>
          <w:sz w:val="20"/>
          <w:szCs w:val="20"/>
        </w:rPr>
      </w:pPr>
      <w:r w:rsidRPr="003B74F2">
        <w:rPr>
          <w:rFonts w:ascii="Times New Roman" w:eastAsia="Times New Roman" w:hAnsi="Times New Roman" w:cs="Times New Roman"/>
          <w:sz w:val="20"/>
          <w:szCs w:val="20"/>
        </w:rPr>
        <w:t xml:space="preserve">From a market perspective, institutional feasibility also underpins efficiency and investment confidence. </w:t>
      </w:r>
      <w:r w:rsidR="006D6F7F">
        <w:rPr>
          <w:rFonts w:ascii="Times New Roman" w:eastAsia="Times New Roman" w:hAnsi="Times New Roman" w:cs="Times New Roman"/>
          <w:sz w:val="20"/>
          <w:szCs w:val="20"/>
        </w:rPr>
        <w:t>G</w:t>
      </w:r>
      <w:r w:rsidRPr="003B74F2">
        <w:rPr>
          <w:rFonts w:ascii="Times New Roman" w:eastAsia="Times New Roman" w:hAnsi="Times New Roman" w:cs="Times New Roman"/>
          <w:sz w:val="20"/>
          <w:szCs w:val="20"/>
        </w:rPr>
        <w:t xml:space="preserve">overnance frameworks anchored in familiar institutions signal continuity, reduce regulatory risk, and facilitate coordination across policy domains. </w:t>
      </w:r>
      <w:r w:rsidR="00644BD6">
        <w:rPr>
          <w:rFonts w:ascii="Times New Roman" w:eastAsia="Times New Roman" w:hAnsi="Times New Roman" w:cs="Times New Roman"/>
          <w:sz w:val="20"/>
          <w:szCs w:val="20"/>
        </w:rPr>
        <w:t>I</w:t>
      </w:r>
      <w:r w:rsidRPr="003B74F2">
        <w:rPr>
          <w:rFonts w:ascii="Times New Roman" w:eastAsia="Times New Roman" w:hAnsi="Times New Roman" w:cs="Times New Roman"/>
          <w:sz w:val="20"/>
          <w:szCs w:val="20"/>
        </w:rPr>
        <w:t>nstitutional layering</w:t>
      </w:r>
      <w:r w:rsidR="00644BD6">
        <w:rPr>
          <w:rFonts w:ascii="Times New Roman" w:eastAsia="Times New Roman" w:hAnsi="Times New Roman" w:cs="Times New Roman"/>
          <w:sz w:val="20"/>
          <w:szCs w:val="20"/>
        </w:rPr>
        <w:t xml:space="preserve">, </w:t>
      </w:r>
      <w:r w:rsidRPr="003B74F2">
        <w:rPr>
          <w:rFonts w:ascii="Times New Roman" w:eastAsia="Times New Roman" w:hAnsi="Times New Roman" w:cs="Times New Roman"/>
          <w:sz w:val="20"/>
          <w:szCs w:val="20"/>
        </w:rPr>
        <w:t>rather than institutional replacement</w:t>
      </w:r>
      <w:r w:rsidR="00644BD6">
        <w:rPr>
          <w:rFonts w:ascii="Times New Roman" w:eastAsia="Times New Roman" w:hAnsi="Times New Roman" w:cs="Times New Roman"/>
          <w:sz w:val="20"/>
          <w:szCs w:val="20"/>
        </w:rPr>
        <w:t xml:space="preserve">, </w:t>
      </w:r>
      <w:r w:rsidRPr="003B74F2">
        <w:rPr>
          <w:rFonts w:ascii="Times New Roman" w:eastAsia="Times New Roman" w:hAnsi="Times New Roman" w:cs="Times New Roman"/>
          <w:sz w:val="20"/>
          <w:szCs w:val="20"/>
        </w:rPr>
        <w:t>enhances legitimacy and adaptability in global commons governance</w:t>
      </w:r>
      <w:r w:rsidR="00644BD6">
        <w:rPr>
          <w:rFonts w:ascii="Times New Roman" w:eastAsia="Times New Roman" w:hAnsi="Times New Roman" w:cs="Times New Roman"/>
          <w:sz w:val="20"/>
          <w:szCs w:val="20"/>
        </w:rPr>
        <w:t xml:space="preserve"> (Mahoney &amp; Thelen, 2010)</w:t>
      </w:r>
      <w:r w:rsidRPr="003B74F2">
        <w:rPr>
          <w:rFonts w:ascii="Times New Roman" w:eastAsia="Times New Roman" w:hAnsi="Times New Roman" w:cs="Times New Roman"/>
          <w:sz w:val="20"/>
          <w:szCs w:val="20"/>
        </w:rPr>
        <w:t>.</w:t>
      </w:r>
      <w:r w:rsidR="00A47175" w:rsidRPr="00A47175">
        <w:rPr>
          <w:rFonts w:ascii="Times New Roman" w:eastAsia="Times New Roman" w:hAnsi="Times New Roman" w:cs="Times New Roman"/>
          <w:sz w:val="20"/>
          <w:szCs w:val="20"/>
        </w:rPr>
        <w:t xml:space="preserve"> </w:t>
      </w:r>
      <w:r w:rsidR="00A47175" w:rsidRPr="003B74F2">
        <w:rPr>
          <w:rFonts w:ascii="Times New Roman" w:eastAsia="Times New Roman" w:hAnsi="Times New Roman" w:cs="Times New Roman"/>
          <w:sz w:val="20"/>
          <w:szCs w:val="20"/>
        </w:rPr>
        <w:t>For SBSP, institutional feasibility ensures that ambitious global coordination goals remain operational rather than aspirational.</w:t>
      </w:r>
    </w:p>
    <w:p w14:paraId="0589DB96" w14:textId="17DB1EA9" w:rsidR="006D477E" w:rsidRPr="006D477E" w:rsidRDefault="006D477E" w:rsidP="00A71B2B">
      <w:pPr>
        <w:pStyle w:val="ListParagraph"/>
        <w:numPr>
          <w:ilvl w:val="0"/>
          <w:numId w:val="36"/>
        </w:numPr>
        <w:spacing w:line="240" w:lineRule="auto"/>
        <w:rPr>
          <w:rFonts w:ascii="Times New Roman" w:eastAsia="Times New Roman" w:hAnsi="Times New Roman" w:cs="Times New Roman"/>
          <w:sz w:val="20"/>
          <w:szCs w:val="20"/>
        </w:rPr>
      </w:pPr>
      <w:r w:rsidRPr="006D477E">
        <w:rPr>
          <w:rFonts w:ascii="Times New Roman" w:eastAsia="Times New Roman" w:hAnsi="Times New Roman" w:cs="Times New Roman"/>
          <w:sz w:val="20"/>
          <w:szCs w:val="20"/>
        </w:rPr>
        <w:t>Resilience and Security</w:t>
      </w:r>
    </w:p>
    <w:p w14:paraId="74CDDCC0" w14:textId="73EAE9E8" w:rsidR="005A5273" w:rsidRPr="005A5273" w:rsidRDefault="005A5273"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principle of r</w:t>
      </w:r>
      <w:r w:rsidRPr="005A5273">
        <w:rPr>
          <w:rFonts w:ascii="Times New Roman" w:eastAsia="Times New Roman" w:hAnsi="Times New Roman" w:cs="Times New Roman"/>
          <w:sz w:val="20"/>
          <w:szCs w:val="20"/>
        </w:rPr>
        <w:t>esilience and security is fundamental because system failure or malicious disruption could generate cascading technical, economic, and geopolitical consequences. Large-scale SBSP infrastructure would function as critical energy and space-based infrastructure, making it vulnerable to risks including malfunction of hardware, space debris collisions, cyber intrusion, electromagnetic interference, and geopolitical weaponization. Technology governance research shows that complex, tightly coupled systems require built-in resilience to absorb shocks and recover functionality without systemic collapse (Perrow, 1984; Ostrom, 2010).</w:t>
      </w:r>
    </w:p>
    <w:p w14:paraId="7E4E35FA" w14:textId="2910F593" w:rsidR="005A5273" w:rsidRPr="005A5273" w:rsidRDefault="005A5273"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w:t>
      </w:r>
      <w:r w:rsidRPr="005A5273">
        <w:rPr>
          <w:rFonts w:ascii="Times New Roman" w:eastAsia="Times New Roman" w:hAnsi="Times New Roman" w:cs="Times New Roman"/>
          <w:sz w:val="20"/>
          <w:szCs w:val="20"/>
        </w:rPr>
        <w:t>ecurity concerns are inseparable from cooperation in shared domains such as outer space. Dolman (2002) argues that space-based systems inherently carry strategic implications, necessitating governance arrangements that reduce security dilemmas and deter destabilizing behavior. Security agreements, transparency measures, and joint monitoring mechanisms therefore serve both protective and confidence-building functions.</w:t>
      </w:r>
    </w:p>
    <w:p w14:paraId="6E33A8E3" w14:textId="6C8A4231" w:rsidR="005A5273" w:rsidRPr="005A5273" w:rsidRDefault="005A5273" w:rsidP="00A71B2B">
      <w:pPr>
        <w:spacing w:line="240" w:lineRule="auto"/>
        <w:rPr>
          <w:rFonts w:ascii="Times New Roman" w:eastAsia="Times New Roman" w:hAnsi="Times New Roman" w:cs="Times New Roman"/>
          <w:sz w:val="20"/>
          <w:szCs w:val="20"/>
        </w:rPr>
      </w:pPr>
      <w:r w:rsidRPr="005A5273">
        <w:rPr>
          <w:rFonts w:ascii="Times New Roman" w:eastAsia="Times New Roman" w:hAnsi="Times New Roman" w:cs="Times New Roman"/>
          <w:sz w:val="20"/>
          <w:szCs w:val="20"/>
        </w:rPr>
        <w:t xml:space="preserve">Resilience further depends on redundancy and institutional diversification. Redundant satellite constellations, alternative transmission pathways, and fail-safe operational protocols can reduce single points of failure, while coordinated space situational awareness and debris mitigation regimes enhance survivability. Policy implementation scholarship emphasizes that resilience is strengthened when governance responsibilities are distributed across multiple actors and institutions rather than centralized within a single authority (Ostrom, 2010). </w:t>
      </w:r>
      <w:r w:rsidR="008B21AA">
        <w:rPr>
          <w:rFonts w:ascii="Times New Roman" w:eastAsia="Times New Roman" w:hAnsi="Times New Roman" w:cs="Times New Roman"/>
          <w:sz w:val="20"/>
          <w:szCs w:val="20"/>
        </w:rPr>
        <w:t>T</w:t>
      </w:r>
      <w:r w:rsidRPr="005A5273">
        <w:rPr>
          <w:rFonts w:ascii="Times New Roman" w:eastAsia="Times New Roman" w:hAnsi="Times New Roman" w:cs="Times New Roman"/>
          <w:sz w:val="20"/>
          <w:szCs w:val="20"/>
        </w:rPr>
        <w:t xml:space="preserve">his implies a layered governance approach </w:t>
      </w:r>
      <w:r w:rsidR="008B21AA">
        <w:rPr>
          <w:rFonts w:ascii="Times New Roman" w:eastAsia="Times New Roman" w:hAnsi="Times New Roman" w:cs="Times New Roman"/>
          <w:sz w:val="20"/>
          <w:szCs w:val="20"/>
        </w:rPr>
        <w:t xml:space="preserve">for SBSP </w:t>
      </w:r>
      <w:r w:rsidRPr="005A5273">
        <w:rPr>
          <w:rFonts w:ascii="Times New Roman" w:eastAsia="Times New Roman" w:hAnsi="Times New Roman" w:cs="Times New Roman"/>
          <w:sz w:val="20"/>
          <w:szCs w:val="20"/>
        </w:rPr>
        <w:t>involving national security agencies, civil space authorities, and international organizations.</w:t>
      </w:r>
    </w:p>
    <w:p w14:paraId="5612FCD6" w14:textId="4679FE88" w:rsidR="005A5273" w:rsidRDefault="005A5273" w:rsidP="00A71B2B">
      <w:pPr>
        <w:spacing w:line="240" w:lineRule="auto"/>
        <w:rPr>
          <w:rFonts w:ascii="Times New Roman" w:eastAsia="Times New Roman" w:hAnsi="Times New Roman" w:cs="Times New Roman"/>
          <w:sz w:val="20"/>
          <w:szCs w:val="20"/>
        </w:rPr>
      </w:pPr>
      <w:r w:rsidRPr="005A5273">
        <w:rPr>
          <w:rFonts w:ascii="Times New Roman" w:eastAsia="Times New Roman" w:hAnsi="Times New Roman" w:cs="Times New Roman"/>
          <w:sz w:val="20"/>
          <w:szCs w:val="20"/>
        </w:rPr>
        <w:lastRenderedPageBreak/>
        <w:t>Ultimately, resilience and security are enabling conditions for SBSP market formation. Embedding security agreements, joint monitoring, cybersecurity protections, and redundancy measures into SBSP policy architecture reduces systemic risk, deters misuse, and builds the trust necessary for SBSP to operate as a stable, long-term component of global energy systems.</w:t>
      </w:r>
    </w:p>
    <w:p w14:paraId="45981703" w14:textId="21555F17" w:rsidR="13182AF5" w:rsidRPr="003C1716" w:rsidRDefault="25437709" w:rsidP="00A71B2B">
      <w:pPr>
        <w:spacing w:line="240" w:lineRule="auto"/>
        <w:rPr>
          <w:rFonts w:ascii="Times New Roman" w:eastAsiaTheme="majorEastAsia" w:hAnsi="Times New Roman" w:cs="Times New Roman"/>
          <w:b/>
          <w:bCs/>
          <w:sz w:val="20"/>
          <w:szCs w:val="20"/>
        </w:rPr>
      </w:pPr>
      <w:r w:rsidRPr="003C1716">
        <w:rPr>
          <w:rFonts w:ascii="Times New Roman" w:eastAsiaTheme="majorEastAsia" w:hAnsi="Times New Roman" w:cs="Times New Roman"/>
          <w:b/>
          <w:bCs/>
          <w:sz w:val="20"/>
          <w:szCs w:val="20"/>
        </w:rPr>
        <w:t xml:space="preserve">3.2 </w:t>
      </w:r>
      <w:r w:rsidR="002A3519" w:rsidRPr="002A3519">
        <w:rPr>
          <w:rFonts w:ascii="Times New Roman" w:eastAsiaTheme="majorEastAsia" w:hAnsi="Times New Roman" w:cs="Times New Roman"/>
          <w:b/>
          <w:bCs/>
          <w:sz w:val="20"/>
          <w:szCs w:val="20"/>
        </w:rPr>
        <w:t>SBSP Policy Architecture</w:t>
      </w:r>
    </w:p>
    <w:p w14:paraId="1B4D0DA3" w14:textId="5B72FF9E" w:rsidR="00C963CB" w:rsidRDefault="00C963CB" w:rsidP="00A71B2B">
      <w:pPr>
        <w:spacing w:line="240" w:lineRule="auto"/>
        <w:rPr>
          <w:rFonts w:ascii="Times New Roman" w:eastAsia="Times New Roman" w:hAnsi="Times New Roman" w:cs="Times New Roman"/>
          <w:sz w:val="20"/>
          <w:szCs w:val="20"/>
        </w:rPr>
      </w:pPr>
      <w:r w:rsidRPr="00C963CB">
        <w:rPr>
          <w:rFonts w:ascii="Times New Roman" w:eastAsia="Times New Roman" w:hAnsi="Times New Roman" w:cs="Times New Roman"/>
          <w:sz w:val="20"/>
          <w:szCs w:val="20"/>
        </w:rPr>
        <w:t xml:space="preserve">While the six architectural principles provide essential normative guidance, their effectiveness ultimately depends on their translation into concrete and enforceable policy mechanisms. The architecture of SBSP policy must convert guiding principles into a structured and multi-level governance framework. </w:t>
      </w:r>
      <w:r w:rsidR="007A1261" w:rsidRPr="00C963CB">
        <w:rPr>
          <w:rFonts w:ascii="Times New Roman" w:eastAsia="Times New Roman" w:hAnsi="Times New Roman" w:cs="Times New Roman"/>
          <w:sz w:val="20"/>
          <w:szCs w:val="20"/>
        </w:rPr>
        <w:t>Comprehensive</w:t>
      </w:r>
      <w:r w:rsidRPr="00C963CB">
        <w:rPr>
          <w:rFonts w:ascii="Times New Roman" w:eastAsia="Times New Roman" w:hAnsi="Times New Roman" w:cs="Times New Roman"/>
          <w:sz w:val="20"/>
          <w:szCs w:val="20"/>
        </w:rPr>
        <w:t xml:space="preserve"> SBSP governance architecture therefore requires a coordinated portfolio of policy mechanisms that translate high-level principles into actionable, enforceable, and adaptable instruments</w:t>
      </w:r>
      <w:r w:rsidR="008818E1">
        <w:rPr>
          <w:rFonts w:ascii="Times New Roman" w:eastAsia="Times New Roman" w:hAnsi="Times New Roman" w:cs="Times New Roman"/>
          <w:sz w:val="20"/>
          <w:szCs w:val="20"/>
        </w:rPr>
        <w:t xml:space="preserve"> (Howlett et al., 2017)</w:t>
      </w:r>
      <w:r w:rsidRPr="00C963CB">
        <w:rPr>
          <w:rFonts w:ascii="Times New Roman" w:eastAsia="Times New Roman" w:hAnsi="Times New Roman" w:cs="Times New Roman"/>
          <w:sz w:val="20"/>
          <w:szCs w:val="20"/>
        </w:rPr>
        <w:t>. These mechanisms must operate simultaneously across international, national, financial, market, institutional, and security dimensions to ensure that SBSP development is legitimate, equitable, efficient, and resilient.</w:t>
      </w:r>
    </w:p>
    <w:p w14:paraId="5412BDD7" w14:textId="1F084508" w:rsidR="00D119E8" w:rsidRPr="00823B62" w:rsidRDefault="00D119E8" w:rsidP="00A71B2B">
      <w:pPr>
        <w:spacing w:line="240" w:lineRule="auto"/>
        <w:rPr>
          <w:rFonts w:ascii="Times New Roman" w:eastAsia="Times New Roman" w:hAnsi="Times New Roman" w:cs="Times New Roman"/>
          <w:b/>
          <w:bCs/>
          <w:sz w:val="20"/>
          <w:szCs w:val="20"/>
        </w:rPr>
      </w:pPr>
      <w:r w:rsidRPr="00823B62">
        <w:rPr>
          <w:rFonts w:ascii="Times New Roman" w:eastAsia="Times New Roman" w:hAnsi="Times New Roman" w:cs="Times New Roman"/>
          <w:b/>
          <w:bCs/>
          <w:sz w:val="20"/>
          <w:szCs w:val="20"/>
        </w:rPr>
        <w:t>Figure I SBSP Policy Architecture</w:t>
      </w:r>
    </w:p>
    <w:p w14:paraId="223C20AF" w14:textId="77BE9CA2" w:rsidR="00D119E8" w:rsidRDefault="00D119E8"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68BE27E" wp14:editId="06C4E9B5">
            <wp:extent cx="5486400" cy="3200400"/>
            <wp:effectExtent l="0" t="0" r="0" b="0"/>
            <wp:docPr id="139849458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0A4D729" w14:textId="6CF71649" w:rsidR="00C963CB" w:rsidRPr="00C963CB" w:rsidRDefault="00C963CB" w:rsidP="00A71B2B">
      <w:pPr>
        <w:spacing w:line="240" w:lineRule="auto"/>
        <w:rPr>
          <w:rFonts w:ascii="Times New Roman" w:eastAsia="Times New Roman" w:hAnsi="Times New Roman" w:cs="Times New Roman"/>
          <w:sz w:val="20"/>
          <w:szCs w:val="20"/>
        </w:rPr>
      </w:pPr>
      <w:r w:rsidRPr="00C963CB">
        <w:rPr>
          <w:rFonts w:ascii="Times New Roman" w:eastAsia="Times New Roman" w:hAnsi="Times New Roman" w:cs="Times New Roman"/>
          <w:sz w:val="20"/>
          <w:szCs w:val="20"/>
        </w:rPr>
        <w:t xml:space="preserve">Figure 1 illustrates the proposed SBSP policy architecture using a multi-layered governance framework. Drawing on Gustafsson’s (1998) taxonomy of environmental policy instruments, the architecture distinguishes between two primary categories of policy tools: administrative mechanisms and incentive mechanisms. </w:t>
      </w:r>
      <w:r w:rsidR="00671DFE">
        <w:rPr>
          <w:rFonts w:ascii="Times New Roman" w:eastAsia="Times New Roman" w:hAnsi="Times New Roman" w:cs="Times New Roman"/>
          <w:sz w:val="20"/>
          <w:szCs w:val="20"/>
        </w:rPr>
        <w:t>The administrative</w:t>
      </w:r>
      <w:r w:rsidRPr="00C963CB">
        <w:rPr>
          <w:rFonts w:ascii="Times New Roman" w:eastAsia="Times New Roman" w:hAnsi="Times New Roman" w:cs="Times New Roman"/>
          <w:sz w:val="20"/>
          <w:szCs w:val="20"/>
        </w:rPr>
        <w:t xml:space="preserve"> category operates at both international and national levels, producing </w:t>
      </w:r>
      <w:r w:rsidR="00726817">
        <w:rPr>
          <w:rFonts w:ascii="Times New Roman" w:eastAsia="Times New Roman" w:hAnsi="Times New Roman" w:cs="Times New Roman"/>
          <w:sz w:val="20"/>
          <w:szCs w:val="20"/>
        </w:rPr>
        <w:t>four</w:t>
      </w:r>
      <w:r w:rsidR="00671DFE">
        <w:rPr>
          <w:rFonts w:ascii="Times New Roman" w:eastAsia="Times New Roman" w:hAnsi="Times New Roman" w:cs="Times New Roman"/>
          <w:sz w:val="20"/>
          <w:szCs w:val="20"/>
        </w:rPr>
        <w:t xml:space="preserve"> </w:t>
      </w:r>
      <w:r w:rsidRPr="00C963CB">
        <w:rPr>
          <w:rFonts w:ascii="Times New Roman" w:eastAsia="Times New Roman" w:hAnsi="Times New Roman" w:cs="Times New Roman"/>
          <w:sz w:val="20"/>
          <w:szCs w:val="20"/>
        </w:rPr>
        <w:t xml:space="preserve">interrelated governance </w:t>
      </w:r>
      <w:r w:rsidR="00726817">
        <w:rPr>
          <w:rFonts w:ascii="Times New Roman" w:eastAsia="Times New Roman" w:hAnsi="Times New Roman" w:cs="Times New Roman"/>
          <w:sz w:val="20"/>
          <w:szCs w:val="20"/>
        </w:rPr>
        <w:t>quadrant</w:t>
      </w:r>
      <w:r w:rsidRPr="00C963CB">
        <w:rPr>
          <w:rFonts w:ascii="Times New Roman" w:eastAsia="Times New Roman" w:hAnsi="Times New Roman" w:cs="Times New Roman"/>
          <w:sz w:val="20"/>
          <w:szCs w:val="20"/>
        </w:rPr>
        <w:t>s that together constitute an integrated, market-oriented SBSP policy system.</w:t>
      </w:r>
    </w:p>
    <w:p w14:paraId="1EA081D8" w14:textId="27570673" w:rsidR="00C963CB" w:rsidRPr="00C963CB" w:rsidRDefault="00C963CB" w:rsidP="00A71B2B">
      <w:pPr>
        <w:spacing w:line="240" w:lineRule="auto"/>
        <w:rPr>
          <w:rFonts w:ascii="Times New Roman" w:eastAsia="Times New Roman" w:hAnsi="Times New Roman" w:cs="Times New Roman"/>
          <w:sz w:val="20"/>
          <w:szCs w:val="20"/>
        </w:rPr>
      </w:pPr>
      <w:r w:rsidRPr="00C963CB">
        <w:rPr>
          <w:rFonts w:ascii="Times New Roman" w:eastAsia="Times New Roman" w:hAnsi="Times New Roman" w:cs="Times New Roman"/>
          <w:sz w:val="20"/>
          <w:szCs w:val="20"/>
        </w:rPr>
        <w:t>Administrative mechanisms rely on government authority exercised through regulation, rules, monitoring, and enforcement, implemented by public institutions with or without the direct consent of regulated actors. In contrast, incentive mechanisms mobilize private actors’ self-interest, information, and resources to guide behavior toward socially desirable outcomes. Incentive mechanisms can be further divided into price-based instruments</w:t>
      </w:r>
      <w:r w:rsidR="00671DFE">
        <w:rPr>
          <w:rFonts w:ascii="Times New Roman" w:eastAsia="Times New Roman" w:hAnsi="Times New Roman" w:cs="Times New Roman"/>
          <w:sz w:val="20"/>
          <w:szCs w:val="20"/>
        </w:rPr>
        <w:t xml:space="preserve">, </w:t>
      </w:r>
      <w:r w:rsidRPr="00C963CB">
        <w:rPr>
          <w:rFonts w:ascii="Times New Roman" w:eastAsia="Times New Roman" w:hAnsi="Times New Roman" w:cs="Times New Roman"/>
          <w:sz w:val="20"/>
          <w:szCs w:val="20"/>
        </w:rPr>
        <w:t xml:space="preserve">such as subsidies, taxes, </w:t>
      </w:r>
      <w:r w:rsidR="0009190F" w:rsidRPr="00C963CB">
        <w:rPr>
          <w:rFonts w:ascii="Times New Roman" w:eastAsia="Times New Roman" w:hAnsi="Times New Roman" w:cs="Times New Roman"/>
          <w:sz w:val="20"/>
          <w:szCs w:val="20"/>
        </w:rPr>
        <w:t>rebates,</w:t>
      </w:r>
      <w:r w:rsidRPr="00C963CB">
        <w:rPr>
          <w:rFonts w:ascii="Times New Roman" w:eastAsia="Times New Roman" w:hAnsi="Times New Roman" w:cs="Times New Roman"/>
          <w:sz w:val="20"/>
          <w:szCs w:val="20"/>
        </w:rPr>
        <w:t xml:space="preserve"> carbon-linked incentives</w:t>
      </w:r>
      <w:r w:rsidR="00671DFE">
        <w:rPr>
          <w:rFonts w:ascii="Times New Roman" w:eastAsia="Times New Roman" w:hAnsi="Times New Roman" w:cs="Times New Roman"/>
          <w:sz w:val="20"/>
          <w:szCs w:val="20"/>
        </w:rPr>
        <w:t xml:space="preserve">, </w:t>
      </w:r>
      <w:r w:rsidRPr="00C963CB">
        <w:rPr>
          <w:rFonts w:ascii="Times New Roman" w:eastAsia="Times New Roman" w:hAnsi="Times New Roman" w:cs="Times New Roman"/>
          <w:sz w:val="20"/>
          <w:szCs w:val="20"/>
        </w:rPr>
        <w:t>and quantity-based or market mechanisms, including tradable permits, competitive auctions, franchises, and quota-based procurement systems. Although incentive mechanisms operate through markets, they are not self-generating; they are created, modified, and enforced through deliberate policy decisions and administrative oversight.</w:t>
      </w:r>
    </w:p>
    <w:p w14:paraId="774F94F3" w14:textId="77777777" w:rsidR="00C963CB" w:rsidRPr="00C963CB" w:rsidRDefault="00C963CB" w:rsidP="00A71B2B">
      <w:pPr>
        <w:spacing w:line="240" w:lineRule="auto"/>
        <w:rPr>
          <w:rFonts w:ascii="Times New Roman" w:eastAsia="Times New Roman" w:hAnsi="Times New Roman" w:cs="Times New Roman"/>
          <w:sz w:val="20"/>
          <w:szCs w:val="20"/>
        </w:rPr>
      </w:pPr>
      <w:r w:rsidRPr="00C963CB">
        <w:rPr>
          <w:rFonts w:ascii="Times New Roman" w:eastAsia="Times New Roman" w:hAnsi="Times New Roman" w:cs="Times New Roman"/>
          <w:sz w:val="20"/>
          <w:szCs w:val="20"/>
        </w:rPr>
        <w:t xml:space="preserve">At the international level, administrative mechanisms include treaties, customary international law, multilateral agreements, and global technical and safety standards. These instruments establish the legal and normative foundation for SBSP governance by defining rights, responsibilities, and safeguards among states. International </w:t>
      </w:r>
      <w:r w:rsidRPr="00C963CB">
        <w:rPr>
          <w:rFonts w:ascii="Times New Roman" w:eastAsia="Times New Roman" w:hAnsi="Times New Roman" w:cs="Times New Roman"/>
          <w:sz w:val="20"/>
          <w:szCs w:val="20"/>
        </w:rPr>
        <w:lastRenderedPageBreak/>
        <w:t>administrative mechanisms are essential for preserving the space commons, coordinating spectrum use, preventing the monopolization of orbital resources, and reducing the risk of conflict arising from unilateral deployment.</w:t>
      </w:r>
    </w:p>
    <w:p w14:paraId="2CA4C9D0" w14:textId="2DD4B1A2" w:rsidR="00C963CB" w:rsidRPr="00C963CB" w:rsidRDefault="00C963CB" w:rsidP="00A71B2B">
      <w:pPr>
        <w:spacing w:line="240" w:lineRule="auto"/>
        <w:rPr>
          <w:rFonts w:ascii="Times New Roman" w:eastAsia="Times New Roman" w:hAnsi="Times New Roman" w:cs="Times New Roman"/>
          <w:sz w:val="20"/>
          <w:szCs w:val="20"/>
        </w:rPr>
      </w:pPr>
      <w:r w:rsidRPr="00C963CB">
        <w:rPr>
          <w:rFonts w:ascii="Times New Roman" w:eastAsia="Times New Roman" w:hAnsi="Times New Roman" w:cs="Times New Roman"/>
          <w:sz w:val="20"/>
          <w:szCs w:val="20"/>
        </w:rPr>
        <w:t xml:space="preserve">At the national level, administrative mechanisms consist of domestic legislation, regulatory agencies, licensing and authorization regimes, environmental review procedures, land-use and zoning regulations, and public safety standards. These instruments </w:t>
      </w:r>
      <w:r w:rsidR="007A1261" w:rsidRPr="00C963CB">
        <w:rPr>
          <w:rFonts w:ascii="Times New Roman" w:eastAsia="Times New Roman" w:hAnsi="Times New Roman" w:cs="Times New Roman"/>
          <w:sz w:val="20"/>
          <w:szCs w:val="20"/>
        </w:rPr>
        <w:t>opera</w:t>
      </w:r>
      <w:r w:rsidR="001C72D8">
        <w:rPr>
          <w:rFonts w:ascii="Times New Roman" w:eastAsia="Times New Roman" w:hAnsi="Times New Roman" w:cs="Times New Roman"/>
          <w:sz w:val="20"/>
          <w:szCs w:val="20"/>
        </w:rPr>
        <w:t>tionalize</w:t>
      </w:r>
      <w:r w:rsidRPr="00C963CB">
        <w:rPr>
          <w:rFonts w:ascii="Times New Roman" w:eastAsia="Times New Roman" w:hAnsi="Times New Roman" w:cs="Times New Roman"/>
          <w:sz w:val="20"/>
          <w:szCs w:val="20"/>
        </w:rPr>
        <w:t xml:space="preserve"> international norms within domestic jurisdictions. They govern key aspects of SBSP deployment, including satellite launch authorization, rectenna siting, domestic spectrum allocation, environmental and health risk assessment, and infrastructure integration with existing energy systems.</w:t>
      </w:r>
    </w:p>
    <w:p w14:paraId="04C011F0" w14:textId="58897F75" w:rsidR="00805D00" w:rsidRPr="00805D00" w:rsidRDefault="00805D00" w:rsidP="00A71B2B">
      <w:pPr>
        <w:spacing w:line="240" w:lineRule="auto"/>
        <w:rPr>
          <w:rFonts w:ascii="Times New Roman" w:eastAsia="Times New Roman" w:hAnsi="Times New Roman" w:cs="Times New Roman"/>
          <w:sz w:val="20"/>
          <w:szCs w:val="20"/>
        </w:rPr>
      </w:pPr>
      <w:r w:rsidRPr="00805D00">
        <w:rPr>
          <w:rFonts w:ascii="Times New Roman" w:eastAsia="Times New Roman" w:hAnsi="Times New Roman" w:cs="Times New Roman"/>
          <w:sz w:val="20"/>
          <w:szCs w:val="20"/>
        </w:rPr>
        <w:t xml:space="preserve">The lower tier of the </w:t>
      </w:r>
      <w:r>
        <w:rPr>
          <w:rFonts w:ascii="Times New Roman" w:eastAsia="Times New Roman" w:hAnsi="Times New Roman" w:cs="Times New Roman"/>
          <w:sz w:val="20"/>
          <w:szCs w:val="20"/>
        </w:rPr>
        <w:t>policy</w:t>
      </w:r>
      <w:r w:rsidRPr="00805D00">
        <w:rPr>
          <w:rFonts w:ascii="Times New Roman" w:eastAsia="Times New Roman" w:hAnsi="Times New Roman" w:cs="Times New Roman"/>
          <w:sz w:val="20"/>
          <w:szCs w:val="20"/>
        </w:rPr>
        <w:t xml:space="preserve"> architecture consists of incentive mechanisms that complement administrative authority by mobilizing investment, accelerating innovation, and enabling competitive market participation. At the international level, incentive mechanisms</w:t>
      </w:r>
      <w:r>
        <w:rPr>
          <w:rFonts w:ascii="Times New Roman" w:eastAsia="Times New Roman" w:hAnsi="Times New Roman" w:cs="Times New Roman"/>
          <w:sz w:val="20"/>
          <w:szCs w:val="20"/>
        </w:rPr>
        <w:t xml:space="preserve">, </w:t>
      </w:r>
      <w:r w:rsidRPr="00805D00">
        <w:rPr>
          <w:rFonts w:ascii="Times New Roman" w:eastAsia="Times New Roman" w:hAnsi="Times New Roman" w:cs="Times New Roman"/>
          <w:sz w:val="20"/>
          <w:szCs w:val="20"/>
        </w:rPr>
        <w:t xml:space="preserve">primarily finance, </w:t>
      </w:r>
      <w:r w:rsidR="0009190F">
        <w:rPr>
          <w:rFonts w:ascii="Times New Roman" w:eastAsia="Times New Roman" w:hAnsi="Times New Roman" w:cs="Times New Roman"/>
          <w:sz w:val="20"/>
          <w:szCs w:val="20"/>
        </w:rPr>
        <w:t>support</w:t>
      </w:r>
      <w:r w:rsidRPr="00805D00">
        <w:rPr>
          <w:rFonts w:ascii="Times New Roman" w:eastAsia="Times New Roman" w:hAnsi="Times New Roman" w:cs="Times New Roman"/>
          <w:sz w:val="20"/>
          <w:szCs w:val="20"/>
        </w:rPr>
        <w:t>, and coordination</w:t>
      </w:r>
      <w:r w:rsidR="0009190F">
        <w:rPr>
          <w:rFonts w:ascii="Times New Roman" w:eastAsia="Times New Roman" w:hAnsi="Times New Roman" w:cs="Times New Roman"/>
          <w:sz w:val="20"/>
          <w:szCs w:val="20"/>
        </w:rPr>
        <w:t>, such as</w:t>
      </w:r>
      <w:r w:rsidRPr="00805D00">
        <w:rPr>
          <w:rFonts w:ascii="Times New Roman" w:eastAsia="Times New Roman" w:hAnsi="Times New Roman" w:cs="Times New Roman"/>
          <w:sz w:val="20"/>
          <w:szCs w:val="20"/>
        </w:rPr>
        <w:t xml:space="preserve"> for sustainable energy</w:t>
      </w:r>
      <w:r>
        <w:rPr>
          <w:rFonts w:ascii="Times New Roman" w:eastAsia="Times New Roman" w:hAnsi="Times New Roman" w:cs="Times New Roman"/>
          <w:sz w:val="20"/>
          <w:szCs w:val="20"/>
        </w:rPr>
        <w:t xml:space="preserve">, </w:t>
      </w:r>
      <w:r w:rsidRPr="00805D00">
        <w:rPr>
          <w:rFonts w:ascii="Times New Roman" w:eastAsia="Times New Roman" w:hAnsi="Times New Roman" w:cs="Times New Roman"/>
          <w:sz w:val="20"/>
          <w:szCs w:val="20"/>
        </w:rPr>
        <w:t>are largely indirect, voluntary, and politically constrained. National and international price-based mechanisms rely on economic signals to reduce investment risk and align SBSP development with broader clean energy and decarbonization objectives.</w:t>
      </w:r>
    </w:p>
    <w:p w14:paraId="08ACD92E" w14:textId="77777777" w:rsidR="0009190F" w:rsidRDefault="00805D00" w:rsidP="00A71B2B">
      <w:pPr>
        <w:spacing w:line="240" w:lineRule="auto"/>
        <w:rPr>
          <w:rFonts w:ascii="Times New Roman" w:eastAsia="Times New Roman" w:hAnsi="Times New Roman" w:cs="Times New Roman"/>
          <w:sz w:val="20"/>
          <w:szCs w:val="20"/>
        </w:rPr>
      </w:pPr>
      <w:r w:rsidRPr="00805D00">
        <w:rPr>
          <w:rFonts w:ascii="Times New Roman" w:eastAsia="Times New Roman" w:hAnsi="Times New Roman" w:cs="Times New Roman"/>
          <w:sz w:val="20"/>
          <w:szCs w:val="20"/>
        </w:rPr>
        <w:t>At the national level, a wider array of incentive instruments exists and can be differentiated into price-based and market- or quantity-based mechanisms. Market or quantity mechanisms embed SBSP within structured competitive environments by allocating rights, obligations, and revenues through transparent, rule-based exchanges. Markets operate as allocation systems composed of defined participants, tradable goods or services, agreed terms of exchange, and enforceable transactions</w:t>
      </w:r>
      <w:r w:rsidR="0009190F">
        <w:rPr>
          <w:rFonts w:ascii="Times New Roman" w:eastAsia="Times New Roman" w:hAnsi="Times New Roman" w:cs="Times New Roman"/>
          <w:sz w:val="20"/>
          <w:szCs w:val="20"/>
        </w:rPr>
        <w:t xml:space="preserve">, </w:t>
      </w:r>
      <w:r w:rsidRPr="00805D00">
        <w:rPr>
          <w:rFonts w:ascii="Times New Roman" w:eastAsia="Times New Roman" w:hAnsi="Times New Roman" w:cs="Times New Roman"/>
          <w:sz w:val="20"/>
          <w:szCs w:val="20"/>
        </w:rPr>
        <w:t>each of which must be deliberately constructed through policy design.</w:t>
      </w:r>
      <w:r w:rsidR="0009190F">
        <w:rPr>
          <w:rFonts w:ascii="Times New Roman" w:eastAsia="Times New Roman" w:hAnsi="Times New Roman" w:cs="Times New Roman"/>
          <w:sz w:val="20"/>
          <w:szCs w:val="20"/>
        </w:rPr>
        <w:t xml:space="preserve"> </w:t>
      </w:r>
    </w:p>
    <w:p w14:paraId="10ACAACE" w14:textId="509F41D1" w:rsidR="00C963CB" w:rsidRPr="00C963CB" w:rsidRDefault="00C963CB" w:rsidP="00A71B2B">
      <w:pPr>
        <w:spacing w:line="240" w:lineRule="auto"/>
        <w:rPr>
          <w:rFonts w:ascii="Times New Roman" w:eastAsia="Times New Roman" w:hAnsi="Times New Roman" w:cs="Times New Roman"/>
          <w:sz w:val="20"/>
          <w:szCs w:val="20"/>
        </w:rPr>
      </w:pPr>
      <w:r w:rsidRPr="00C963CB">
        <w:rPr>
          <w:rFonts w:ascii="Times New Roman" w:eastAsia="Times New Roman" w:hAnsi="Times New Roman" w:cs="Times New Roman"/>
          <w:sz w:val="20"/>
          <w:szCs w:val="20"/>
        </w:rPr>
        <w:t xml:space="preserve">Taken together, the policy architecture illustrates a central theoretical claim of this study: SBSP cannot be effectively governed through a single policy instrument or a single level of authority. Instead, successful governance requires </w:t>
      </w:r>
      <w:r w:rsidR="007A1261" w:rsidRPr="00C963CB">
        <w:rPr>
          <w:rFonts w:ascii="Times New Roman" w:eastAsia="Times New Roman" w:hAnsi="Times New Roman" w:cs="Times New Roman"/>
          <w:sz w:val="20"/>
          <w:szCs w:val="20"/>
        </w:rPr>
        <w:t>layered</w:t>
      </w:r>
      <w:r w:rsidRPr="00C963CB">
        <w:rPr>
          <w:rFonts w:ascii="Times New Roman" w:eastAsia="Times New Roman" w:hAnsi="Times New Roman" w:cs="Times New Roman"/>
          <w:sz w:val="20"/>
          <w:szCs w:val="20"/>
        </w:rPr>
        <w:t xml:space="preserve"> architecture in which international treaties provide legitimacy, domestic administrative systems ensure enforceability, price-based incentives promote economic efficiency, and market mechanisms foster innovation and competition.</w:t>
      </w:r>
    </w:p>
    <w:p w14:paraId="5762659D" w14:textId="77777777" w:rsidR="00C963CB" w:rsidRDefault="00C963CB" w:rsidP="00A71B2B">
      <w:pPr>
        <w:spacing w:line="240" w:lineRule="auto"/>
        <w:rPr>
          <w:rFonts w:ascii="Times New Roman" w:eastAsia="Times New Roman" w:hAnsi="Times New Roman" w:cs="Times New Roman"/>
          <w:sz w:val="20"/>
          <w:szCs w:val="20"/>
        </w:rPr>
      </w:pPr>
      <w:r w:rsidRPr="00C963CB">
        <w:rPr>
          <w:rFonts w:ascii="Times New Roman" w:eastAsia="Times New Roman" w:hAnsi="Times New Roman" w:cs="Times New Roman"/>
          <w:sz w:val="20"/>
          <w:szCs w:val="20"/>
        </w:rPr>
        <w:t>Although private-sector actors possess much of the technical expertise and capital required for SBSP development, governments play an indispensable role in enabling and regulating SBSP markets. Private actors cannot operate effectively in the absence of clear rules, credible institutions, and predictable policy signals. Accordingly, the following sections examine existing and prospective SBSP policy instruments through the lens of this policy architecture.</w:t>
      </w:r>
    </w:p>
    <w:p w14:paraId="7BA9A2AF" w14:textId="645CCE47" w:rsidR="13182AF5" w:rsidRPr="00EF39AE" w:rsidRDefault="1F86C8F9" w:rsidP="00A71B2B">
      <w:pPr>
        <w:pStyle w:val="ListParagraph"/>
        <w:numPr>
          <w:ilvl w:val="2"/>
          <w:numId w:val="32"/>
        </w:numPr>
        <w:spacing w:line="240" w:lineRule="auto"/>
        <w:rPr>
          <w:rFonts w:ascii="Times New Roman" w:eastAsia="Times New Roman" w:hAnsi="Times New Roman" w:cs="Times New Roman"/>
          <w:b/>
          <w:bCs/>
          <w:sz w:val="20"/>
          <w:szCs w:val="20"/>
        </w:rPr>
      </w:pPr>
      <w:r w:rsidRPr="00EF39AE">
        <w:rPr>
          <w:rFonts w:ascii="Times New Roman" w:eastAsia="Times New Roman" w:hAnsi="Times New Roman" w:cs="Times New Roman"/>
          <w:b/>
          <w:bCs/>
          <w:sz w:val="20"/>
          <w:szCs w:val="20"/>
        </w:rPr>
        <w:t xml:space="preserve">International Policy Mechanisms  </w:t>
      </w:r>
    </w:p>
    <w:p w14:paraId="0B3E887F" w14:textId="52DC63CE" w:rsidR="00307C1F" w:rsidRPr="00307C1F" w:rsidRDefault="00307C1F" w:rsidP="00A71B2B">
      <w:pPr>
        <w:spacing w:before="240" w:after="240" w:line="240" w:lineRule="auto"/>
        <w:rPr>
          <w:rFonts w:ascii="Times New Roman" w:eastAsia="Times New Roman" w:hAnsi="Times New Roman" w:cs="Times New Roman"/>
          <w:sz w:val="20"/>
          <w:szCs w:val="20"/>
        </w:rPr>
      </w:pPr>
      <w:r w:rsidRPr="00307C1F">
        <w:rPr>
          <w:rFonts w:ascii="Times New Roman" w:eastAsia="Times New Roman" w:hAnsi="Times New Roman" w:cs="Times New Roman"/>
          <w:sz w:val="20"/>
          <w:szCs w:val="20"/>
        </w:rPr>
        <w:t xml:space="preserve">At the international </w:t>
      </w:r>
      <w:r w:rsidR="007A1261">
        <w:rPr>
          <w:rFonts w:ascii="Times New Roman" w:eastAsia="Times New Roman" w:hAnsi="Times New Roman" w:cs="Times New Roman"/>
          <w:sz w:val="20"/>
          <w:szCs w:val="20"/>
        </w:rPr>
        <w:t>level</w:t>
      </w:r>
      <w:r w:rsidRPr="00307C1F">
        <w:rPr>
          <w:rFonts w:ascii="Times New Roman" w:eastAsia="Times New Roman" w:hAnsi="Times New Roman" w:cs="Times New Roman"/>
          <w:sz w:val="20"/>
          <w:szCs w:val="20"/>
        </w:rPr>
        <w:t xml:space="preserve">, multilateral treaties constitute the foundational legal layer of SBSP governance. </w:t>
      </w:r>
      <w:r w:rsidR="007A1261" w:rsidRPr="00307C1F">
        <w:rPr>
          <w:rFonts w:ascii="Times New Roman" w:eastAsia="Times New Roman" w:hAnsi="Times New Roman" w:cs="Times New Roman"/>
          <w:sz w:val="20"/>
          <w:szCs w:val="20"/>
        </w:rPr>
        <w:t>Building</w:t>
      </w:r>
      <w:r w:rsidRPr="00307C1F">
        <w:rPr>
          <w:rFonts w:ascii="Times New Roman" w:eastAsia="Times New Roman" w:hAnsi="Times New Roman" w:cs="Times New Roman"/>
          <w:sz w:val="20"/>
          <w:szCs w:val="20"/>
        </w:rPr>
        <w:t xml:space="preserve"> </w:t>
      </w:r>
      <w:r w:rsidR="007A1261">
        <w:rPr>
          <w:rFonts w:ascii="Times New Roman" w:eastAsia="Times New Roman" w:hAnsi="Times New Roman" w:cs="Times New Roman"/>
          <w:sz w:val="20"/>
          <w:szCs w:val="20"/>
        </w:rPr>
        <w:t xml:space="preserve">upon </w:t>
      </w:r>
      <w:r w:rsidRPr="00307C1F">
        <w:rPr>
          <w:rFonts w:ascii="Times New Roman" w:eastAsia="Times New Roman" w:hAnsi="Times New Roman" w:cs="Times New Roman"/>
          <w:sz w:val="20"/>
          <w:szCs w:val="20"/>
        </w:rPr>
        <w:t xml:space="preserve">precedents such as the Outer Space Treaty </w:t>
      </w:r>
      <w:r w:rsidR="0009190F">
        <w:rPr>
          <w:rFonts w:ascii="Times New Roman" w:eastAsia="Times New Roman" w:hAnsi="Times New Roman" w:cs="Times New Roman"/>
          <w:sz w:val="20"/>
          <w:szCs w:val="20"/>
        </w:rPr>
        <w:t xml:space="preserve">of </w:t>
      </w:r>
      <w:r w:rsidRPr="00307C1F">
        <w:rPr>
          <w:rFonts w:ascii="Times New Roman" w:eastAsia="Times New Roman" w:hAnsi="Times New Roman" w:cs="Times New Roman"/>
          <w:sz w:val="20"/>
          <w:szCs w:val="20"/>
        </w:rPr>
        <w:t xml:space="preserve">1967 and the Paris Agreement </w:t>
      </w:r>
      <w:r w:rsidR="0009190F">
        <w:rPr>
          <w:rFonts w:ascii="Times New Roman" w:eastAsia="Times New Roman" w:hAnsi="Times New Roman" w:cs="Times New Roman"/>
          <w:sz w:val="20"/>
          <w:szCs w:val="20"/>
        </w:rPr>
        <w:t xml:space="preserve">of </w:t>
      </w:r>
      <w:r w:rsidRPr="00307C1F">
        <w:rPr>
          <w:rFonts w:ascii="Times New Roman" w:eastAsia="Times New Roman" w:hAnsi="Times New Roman" w:cs="Times New Roman"/>
          <w:sz w:val="20"/>
          <w:szCs w:val="20"/>
        </w:rPr>
        <w:t>2015,</w:t>
      </w:r>
      <w:r w:rsidR="0009190F">
        <w:rPr>
          <w:rStyle w:val="FootnoteReference"/>
          <w:rFonts w:ascii="Times New Roman" w:eastAsia="Times New Roman" w:hAnsi="Times New Roman" w:cs="Times New Roman"/>
          <w:sz w:val="20"/>
          <w:szCs w:val="20"/>
        </w:rPr>
        <w:footnoteReference w:id="2"/>
      </w:r>
      <w:r w:rsidRPr="00307C1F">
        <w:rPr>
          <w:rFonts w:ascii="Times New Roman" w:eastAsia="Times New Roman" w:hAnsi="Times New Roman" w:cs="Times New Roman"/>
          <w:sz w:val="20"/>
          <w:szCs w:val="20"/>
        </w:rPr>
        <w:t xml:space="preserve"> a dedicated SBSP governance framework would define rights, responsibilities, safety requirements, and behavioral expectations for participating states. Such a framework would institutionalize principles of universality and equity, ensuring that access to orbital space, radiofrequency spectrum, and SBSP-generated energy is not monopolized by technologically advanced actors.</w:t>
      </w:r>
    </w:p>
    <w:p w14:paraId="28DFA78C" w14:textId="57A6EB74" w:rsidR="00307C1F" w:rsidRDefault="00307C1F" w:rsidP="00A71B2B">
      <w:pPr>
        <w:spacing w:before="240" w:after="240" w:line="240" w:lineRule="auto"/>
        <w:rPr>
          <w:rFonts w:ascii="Times New Roman" w:eastAsia="Times New Roman" w:hAnsi="Times New Roman" w:cs="Times New Roman"/>
          <w:sz w:val="20"/>
          <w:szCs w:val="20"/>
        </w:rPr>
      </w:pPr>
      <w:r w:rsidRPr="00307C1F">
        <w:rPr>
          <w:rFonts w:ascii="Times New Roman" w:eastAsia="Times New Roman" w:hAnsi="Times New Roman" w:cs="Times New Roman"/>
          <w:sz w:val="20"/>
          <w:szCs w:val="20"/>
        </w:rPr>
        <w:t>Consistent with Verbruggen’s (2011) account of climate governance evolution, SBSP governance is likely to develop incrementally. Initial arrangements may take the form of voluntary norms and soft-law instruments</w:t>
      </w:r>
      <w:r w:rsidR="00857728">
        <w:rPr>
          <w:rFonts w:ascii="Times New Roman" w:eastAsia="Times New Roman" w:hAnsi="Times New Roman" w:cs="Times New Roman"/>
          <w:sz w:val="20"/>
          <w:szCs w:val="20"/>
        </w:rPr>
        <w:t xml:space="preserve">, </w:t>
      </w:r>
      <w:r w:rsidRPr="00307C1F">
        <w:rPr>
          <w:rFonts w:ascii="Times New Roman" w:eastAsia="Times New Roman" w:hAnsi="Times New Roman" w:cs="Times New Roman"/>
          <w:sz w:val="20"/>
          <w:szCs w:val="20"/>
        </w:rPr>
        <w:t>such as codes of conduct for spectrum use, beam safety standards, and orbital traffic coordination</w:t>
      </w:r>
      <w:r w:rsidR="0074159D">
        <w:rPr>
          <w:rFonts w:ascii="Times New Roman" w:eastAsia="Times New Roman" w:hAnsi="Times New Roman" w:cs="Times New Roman"/>
          <w:sz w:val="20"/>
          <w:szCs w:val="20"/>
        </w:rPr>
        <w:t xml:space="preserve"> (</w:t>
      </w:r>
      <w:r w:rsidR="0074159D" w:rsidRPr="0074159D">
        <w:rPr>
          <w:rFonts w:ascii="Times New Roman" w:eastAsia="Times New Roman" w:hAnsi="Times New Roman" w:cs="Times New Roman"/>
          <w:sz w:val="20"/>
          <w:szCs w:val="20"/>
        </w:rPr>
        <w:t>Chrysaki</w:t>
      </w:r>
      <w:r w:rsidR="0074159D">
        <w:rPr>
          <w:rFonts w:ascii="Times New Roman" w:eastAsia="Times New Roman" w:hAnsi="Times New Roman" w:cs="Times New Roman"/>
          <w:sz w:val="20"/>
          <w:szCs w:val="20"/>
        </w:rPr>
        <w:t xml:space="preserve">, </w:t>
      </w:r>
      <w:r w:rsidR="0074159D" w:rsidRPr="0074159D">
        <w:rPr>
          <w:rFonts w:ascii="Times New Roman" w:eastAsia="Times New Roman" w:hAnsi="Times New Roman" w:cs="Times New Roman"/>
          <w:sz w:val="20"/>
          <w:szCs w:val="20"/>
        </w:rPr>
        <w:t>2020)</w:t>
      </w:r>
      <w:r w:rsidR="00857728">
        <w:rPr>
          <w:rFonts w:ascii="Times New Roman" w:eastAsia="Times New Roman" w:hAnsi="Times New Roman" w:cs="Times New Roman"/>
          <w:sz w:val="20"/>
          <w:szCs w:val="20"/>
        </w:rPr>
        <w:t xml:space="preserve">, </w:t>
      </w:r>
      <w:r w:rsidRPr="00307C1F">
        <w:rPr>
          <w:rFonts w:ascii="Times New Roman" w:eastAsia="Times New Roman" w:hAnsi="Times New Roman" w:cs="Times New Roman"/>
          <w:sz w:val="20"/>
          <w:szCs w:val="20"/>
        </w:rPr>
        <w:t>which could later evolve into binding commitments as technological maturity increases and international participation broadens. This phased approach allows states to reduce uncertainty, build trust, and coordinate long-term investments without prematurely imposing rigid legal obligations.</w:t>
      </w:r>
    </w:p>
    <w:p w14:paraId="1BEBE5FB" w14:textId="3C872D3F" w:rsidR="52522906" w:rsidRDefault="52522906" w:rsidP="00A71B2B">
      <w:pPr>
        <w:spacing w:before="240" w:after="240" w:line="240" w:lineRule="auto"/>
        <w:rPr>
          <w:rFonts w:ascii="Times New Roman" w:eastAsia="Times New Roman" w:hAnsi="Times New Roman" w:cs="Times New Roman"/>
          <w:b/>
          <w:bCs/>
          <w:sz w:val="20"/>
          <w:szCs w:val="20"/>
        </w:rPr>
      </w:pPr>
      <w:r w:rsidRPr="6A144131">
        <w:rPr>
          <w:rFonts w:ascii="Times New Roman" w:eastAsia="Times New Roman" w:hAnsi="Times New Roman" w:cs="Times New Roman"/>
          <w:b/>
          <w:bCs/>
          <w:sz w:val="20"/>
          <w:szCs w:val="20"/>
        </w:rPr>
        <w:t>Existing International Treaties</w:t>
      </w:r>
    </w:p>
    <w:p w14:paraId="4B5E92CC" w14:textId="3CDA6EC6" w:rsidR="00307C1F" w:rsidRPr="00307C1F" w:rsidRDefault="00307C1F" w:rsidP="00A71B2B">
      <w:pPr>
        <w:spacing w:before="240" w:after="240" w:line="240" w:lineRule="auto"/>
        <w:rPr>
          <w:rFonts w:ascii="Times New Roman" w:eastAsia="Times New Roman" w:hAnsi="Times New Roman" w:cs="Times New Roman"/>
          <w:sz w:val="20"/>
          <w:szCs w:val="20"/>
        </w:rPr>
      </w:pPr>
      <w:r w:rsidRPr="00307C1F">
        <w:rPr>
          <w:rFonts w:ascii="Times New Roman" w:eastAsia="Times New Roman" w:hAnsi="Times New Roman" w:cs="Times New Roman"/>
          <w:sz w:val="20"/>
          <w:szCs w:val="20"/>
        </w:rPr>
        <w:t>Existing international space treaties provide an essential but incomplete legal foundation for SBSP. The Outer Space Treaty 196</w:t>
      </w:r>
      <w:r w:rsidR="00DF5CAD">
        <w:rPr>
          <w:rFonts w:ascii="Times New Roman" w:eastAsia="Times New Roman" w:hAnsi="Times New Roman" w:cs="Times New Roman"/>
          <w:sz w:val="20"/>
          <w:szCs w:val="20"/>
        </w:rPr>
        <w:t>7</w:t>
      </w:r>
      <w:r w:rsidRPr="00307C1F">
        <w:rPr>
          <w:rFonts w:ascii="Times New Roman" w:eastAsia="Times New Roman" w:hAnsi="Times New Roman" w:cs="Times New Roman"/>
          <w:sz w:val="20"/>
          <w:szCs w:val="20"/>
        </w:rPr>
        <w:t xml:space="preserve"> and the Moon Agreement </w:t>
      </w:r>
      <w:r w:rsidR="0009190F">
        <w:rPr>
          <w:rFonts w:ascii="Times New Roman" w:eastAsia="Times New Roman" w:hAnsi="Times New Roman" w:cs="Times New Roman"/>
          <w:sz w:val="20"/>
          <w:szCs w:val="20"/>
        </w:rPr>
        <w:t xml:space="preserve">of </w:t>
      </w:r>
      <w:r w:rsidRPr="00307C1F">
        <w:rPr>
          <w:rFonts w:ascii="Times New Roman" w:eastAsia="Times New Roman" w:hAnsi="Times New Roman" w:cs="Times New Roman"/>
          <w:sz w:val="20"/>
          <w:szCs w:val="20"/>
        </w:rPr>
        <w:t>1979</w:t>
      </w:r>
      <w:r w:rsidR="0009190F">
        <w:rPr>
          <w:rStyle w:val="FootnoteReference"/>
          <w:rFonts w:ascii="Times New Roman" w:eastAsia="Times New Roman" w:hAnsi="Times New Roman" w:cs="Times New Roman"/>
          <w:sz w:val="20"/>
          <w:szCs w:val="20"/>
        </w:rPr>
        <w:footnoteReference w:id="3"/>
      </w:r>
      <w:r w:rsidRPr="00307C1F">
        <w:rPr>
          <w:rFonts w:ascii="Times New Roman" w:eastAsia="Times New Roman" w:hAnsi="Times New Roman" w:cs="Times New Roman"/>
          <w:sz w:val="20"/>
          <w:szCs w:val="20"/>
        </w:rPr>
        <w:t xml:space="preserve"> establish outer space as the “province of all humankind” and </w:t>
      </w:r>
      <w:r w:rsidRPr="00307C1F">
        <w:rPr>
          <w:rFonts w:ascii="Times New Roman" w:eastAsia="Times New Roman" w:hAnsi="Times New Roman" w:cs="Times New Roman"/>
          <w:sz w:val="20"/>
          <w:szCs w:val="20"/>
        </w:rPr>
        <w:lastRenderedPageBreak/>
        <w:t>prohibit national appropriation of celestial bodies. While these agreements articulate core principles of peaceful use, cooperation, and non-appropriation, they were drafted long before commercial SBSP became technologically feasible. Consequently, they offer limited guidance on critical issues such as ownership of space-generated energy, cross-border power transmission rights, or mechanisms for equitable benefit-sharing. The absence of enforceable provisions in these areas creates the risk that early-mover states or firms could dominate SBSP deployment, reinforcing global energy inequalities.</w:t>
      </w:r>
    </w:p>
    <w:p w14:paraId="5A25AE77" w14:textId="12A8E941" w:rsidR="00307C1F" w:rsidRPr="00307C1F" w:rsidRDefault="00307C1F" w:rsidP="00A71B2B">
      <w:pPr>
        <w:spacing w:before="240" w:after="240" w:line="240" w:lineRule="auto"/>
        <w:rPr>
          <w:rFonts w:ascii="Times New Roman" w:eastAsia="Times New Roman" w:hAnsi="Times New Roman" w:cs="Times New Roman"/>
          <w:sz w:val="20"/>
          <w:szCs w:val="20"/>
        </w:rPr>
      </w:pPr>
      <w:r w:rsidRPr="00307C1F">
        <w:rPr>
          <w:rFonts w:ascii="Times New Roman" w:eastAsia="Times New Roman" w:hAnsi="Times New Roman" w:cs="Times New Roman"/>
          <w:sz w:val="20"/>
          <w:szCs w:val="20"/>
        </w:rPr>
        <w:t xml:space="preserve">The Liability Convention </w:t>
      </w:r>
      <w:r w:rsidR="00302093">
        <w:rPr>
          <w:rFonts w:ascii="Times New Roman" w:eastAsia="Times New Roman" w:hAnsi="Times New Roman" w:cs="Times New Roman"/>
          <w:sz w:val="20"/>
          <w:szCs w:val="20"/>
        </w:rPr>
        <w:t xml:space="preserve">of </w:t>
      </w:r>
      <w:r w:rsidRPr="00307C1F">
        <w:rPr>
          <w:rFonts w:ascii="Times New Roman" w:eastAsia="Times New Roman" w:hAnsi="Times New Roman" w:cs="Times New Roman"/>
          <w:sz w:val="20"/>
          <w:szCs w:val="20"/>
        </w:rPr>
        <w:t>1972</w:t>
      </w:r>
      <w:r w:rsidR="00302093">
        <w:rPr>
          <w:rStyle w:val="FootnoteReference"/>
          <w:rFonts w:ascii="Times New Roman" w:eastAsia="Times New Roman" w:hAnsi="Times New Roman" w:cs="Times New Roman"/>
          <w:sz w:val="20"/>
          <w:szCs w:val="20"/>
        </w:rPr>
        <w:footnoteReference w:id="4"/>
      </w:r>
      <w:r w:rsidRPr="00307C1F">
        <w:rPr>
          <w:rFonts w:ascii="Times New Roman" w:eastAsia="Times New Roman" w:hAnsi="Times New Roman" w:cs="Times New Roman"/>
          <w:sz w:val="20"/>
          <w:szCs w:val="20"/>
        </w:rPr>
        <w:t xml:space="preserve"> adds another layer by defining state responsibility for damage caused by space objects. In principle, this framework applies to SBSP-related infrastructure, including risks associated with modular satellite debris or misdirected microwave or laser beams. However, existing liability rules were not designed to address continuous, high-power wireless energy transmission or the cumulative risks associated with large SBSP constellations</w:t>
      </w:r>
      <w:r w:rsidR="004457FA">
        <w:rPr>
          <w:rFonts w:ascii="Times New Roman" w:eastAsia="Times New Roman" w:hAnsi="Times New Roman" w:cs="Times New Roman"/>
          <w:sz w:val="20"/>
          <w:szCs w:val="20"/>
        </w:rPr>
        <w:t xml:space="preserve"> (Cheng 1998)</w:t>
      </w:r>
      <w:r w:rsidRPr="00307C1F">
        <w:rPr>
          <w:rFonts w:ascii="Times New Roman" w:eastAsia="Times New Roman" w:hAnsi="Times New Roman" w:cs="Times New Roman"/>
          <w:sz w:val="20"/>
          <w:szCs w:val="20"/>
        </w:rPr>
        <w:t>. This regulatory mismatch creates legal uncertainty that may discourage private investment and complicate cross-border risk allocation.</w:t>
      </w:r>
    </w:p>
    <w:p w14:paraId="6DFB780E" w14:textId="5243A601" w:rsidR="00307C1F" w:rsidRPr="00307C1F" w:rsidRDefault="00307C1F" w:rsidP="00A71B2B">
      <w:pPr>
        <w:spacing w:before="240" w:after="240" w:line="240" w:lineRule="auto"/>
        <w:rPr>
          <w:rFonts w:ascii="Times New Roman" w:eastAsia="Times New Roman" w:hAnsi="Times New Roman" w:cs="Times New Roman"/>
          <w:sz w:val="20"/>
          <w:szCs w:val="20"/>
        </w:rPr>
      </w:pPr>
      <w:r w:rsidRPr="00307C1F">
        <w:rPr>
          <w:rFonts w:ascii="Times New Roman" w:eastAsia="Times New Roman" w:hAnsi="Times New Roman" w:cs="Times New Roman"/>
          <w:sz w:val="20"/>
          <w:szCs w:val="20"/>
        </w:rPr>
        <w:t>Spectrum governance under the International Telecommunication Union (ITU) is likewise critical to SBSP feasibility. SBSP systems require reliable access to specific frequency bands</w:t>
      </w:r>
      <w:r w:rsidR="00DF5CAD">
        <w:rPr>
          <w:rFonts w:ascii="Times New Roman" w:eastAsia="Times New Roman" w:hAnsi="Times New Roman" w:cs="Times New Roman"/>
          <w:sz w:val="20"/>
          <w:szCs w:val="20"/>
        </w:rPr>
        <w:t xml:space="preserve">, </w:t>
      </w:r>
      <w:r w:rsidRPr="00307C1F">
        <w:rPr>
          <w:rFonts w:ascii="Times New Roman" w:eastAsia="Times New Roman" w:hAnsi="Times New Roman" w:cs="Times New Roman"/>
          <w:sz w:val="20"/>
          <w:szCs w:val="20"/>
        </w:rPr>
        <w:t>commonly proposed in the 2.45 GHz or 5.8 GHz ranges</w:t>
      </w:r>
      <w:r w:rsidR="00DF5CAD">
        <w:rPr>
          <w:rFonts w:ascii="Times New Roman" w:eastAsia="Times New Roman" w:hAnsi="Times New Roman" w:cs="Times New Roman"/>
          <w:sz w:val="20"/>
          <w:szCs w:val="20"/>
        </w:rPr>
        <w:t xml:space="preserve">, </w:t>
      </w:r>
      <w:r w:rsidRPr="00307C1F">
        <w:rPr>
          <w:rFonts w:ascii="Times New Roman" w:eastAsia="Times New Roman" w:hAnsi="Times New Roman" w:cs="Times New Roman"/>
          <w:sz w:val="20"/>
          <w:szCs w:val="20"/>
        </w:rPr>
        <w:t>for high-power wireless transmission</w:t>
      </w:r>
      <w:r w:rsidR="00006D7A">
        <w:rPr>
          <w:rFonts w:ascii="Times New Roman" w:eastAsia="Times New Roman" w:hAnsi="Times New Roman" w:cs="Times New Roman"/>
          <w:sz w:val="20"/>
          <w:szCs w:val="20"/>
        </w:rPr>
        <w:t xml:space="preserve"> (Brown, 1984; Mankins, 2014)</w:t>
      </w:r>
      <w:r w:rsidRPr="00307C1F">
        <w:rPr>
          <w:rFonts w:ascii="Times New Roman" w:eastAsia="Times New Roman" w:hAnsi="Times New Roman" w:cs="Times New Roman"/>
          <w:sz w:val="20"/>
          <w:szCs w:val="20"/>
        </w:rPr>
        <w:t>. Existing ITU Radio Regulations are optimized for telecommunications rather than continuous energy transmission, leaving unresolved questions about interference thresholds, safety margins, and long-term spectrum protection</w:t>
      </w:r>
      <w:r w:rsidR="004457FA">
        <w:rPr>
          <w:rFonts w:ascii="Times New Roman" w:eastAsia="Times New Roman" w:hAnsi="Times New Roman" w:cs="Times New Roman"/>
          <w:sz w:val="20"/>
          <w:szCs w:val="20"/>
        </w:rPr>
        <w:t xml:space="preserve"> (Hajimiri, 2023; Pelton 2019)</w:t>
      </w:r>
      <w:r w:rsidRPr="00307C1F">
        <w:rPr>
          <w:rFonts w:ascii="Times New Roman" w:eastAsia="Times New Roman" w:hAnsi="Times New Roman" w:cs="Times New Roman"/>
          <w:sz w:val="20"/>
          <w:szCs w:val="20"/>
        </w:rPr>
        <w:t>. Without internationally coordinated spectrum rules, competition among states could undermine both SBSP operations and existing communications systems.</w:t>
      </w:r>
    </w:p>
    <w:p w14:paraId="181BE89F" w14:textId="11974604" w:rsidR="00307C1F" w:rsidRDefault="00307C1F" w:rsidP="00A71B2B">
      <w:pPr>
        <w:spacing w:before="240" w:after="240" w:line="240" w:lineRule="auto"/>
        <w:rPr>
          <w:rFonts w:ascii="Times New Roman" w:eastAsia="Times New Roman" w:hAnsi="Times New Roman" w:cs="Times New Roman"/>
          <w:sz w:val="20"/>
          <w:szCs w:val="20"/>
        </w:rPr>
      </w:pPr>
      <w:r w:rsidRPr="00307C1F">
        <w:rPr>
          <w:rFonts w:ascii="Times New Roman" w:eastAsia="Times New Roman" w:hAnsi="Times New Roman" w:cs="Times New Roman"/>
          <w:sz w:val="20"/>
          <w:szCs w:val="20"/>
        </w:rPr>
        <w:t>Finally, customary international law principles</w:t>
      </w:r>
      <w:r w:rsidR="00EF0E05">
        <w:rPr>
          <w:rFonts w:ascii="Times New Roman" w:eastAsia="Times New Roman" w:hAnsi="Times New Roman" w:cs="Times New Roman"/>
          <w:sz w:val="20"/>
          <w:szCs w:val="20"/>
        </w:rPr>
        <w:t xml:space="preserve">, </w:t>
      </w:r>
      <w:r w:rsidRPr="00307C1F">
        <w:rPr>
          <w:rFonts w:ascii="Times New Roman" w:eastAsia="Times New Roman" w:hAnsi="Times New Roman" w:cs="Times New Roman"/>
          <w:sz w:val="20"/>
          <w:szCs w:val="20"/>
        </w:rPr>
        <w:t>such as due regard and the obligation to avoid harmful interference</w:t>
      </w:r>
      <w:r w:rsidR="00EF0E05">
        <w:rPr>
          <w:rFonts w:ascii="Times New Roman" w:eastAsia="Times New Roman" w:hAnsi="Times New Roman" w:cs="Times New Roman"/>
          <w:sz w:val="20"/>
          <w:szCs w:val="20"/>
        </w:rPr>
        <w:t xml:space="preserve">, </w:t>
      </w:r>
      <w:r w:rsidRPr="00307C1F">
        <w:rPr>
          <w:rFonts w:ascii="Times New Roman" w:eastAsia="Times New Roman" w:hAnsi="Times New Roman" w:cs="Times New Roman"/>
          <w:sz w:val="20"/>
          <w:szCs w:val="20"/>
        </w:rPr>
        <w:t>remain too general to govern large-scale orbital energy infrastructure</w:t>
      </w:r>
      <w:r w:rsidR="00EF0E05">
        <w:rPr>
          <w:rFonts w:ascii="Times New Roman" w:eastAsia="Times New Roman" w:hAnsi="Times New Roman" w:cs="Times New Roman"/>
          <w:sz w:val="20"/>
          <w:szCs w:val="20"/>
        </w:rPr>
        <w:t xml:space="preserve"> (de Zwart et al., 2023</w:t>
      </w:r>
      <w:r w:rsidR="00EF0E05" w:rsidRPr="00D80F34">
        <w:rPr>
          <w:rFonts w:ascii="Times New Roman" w:eastAsia="Times New Roman" w:hAnsi="Times New Roman" w:cs="Times New Roman"/>
          <w:sz w:val="20"/>
          <w:szCs w:val="20"/>
        </w:rPr>
        <w:t>)</w:t>
      </w:r>
      <w:r w:rsidRPr="00307C1F">
        <w:rPr>
          <w:rFonts w:ascii="Times New Roman" w:eastAsia="Times New Roman" w:hAnsi="Times New Roman" w:cs="Times New Roman"/>
          <w:sz w:val="20"/>
          <w:szCs w:val="20"/>
        </w:rPr>
        <w:t>. Their lack of specificity and enforceability leaves significant operational and legal ambiguities for SBSP deployment.</w:t>
      </w:r>
    </w:p>
    <w:p w14:paraId="7CFC741A" w14:textId="0D9C85EB" w:rsidR="00E8728E" w:rsidRDefault="00E8728E" w:rsidP="00A71B2B">
      <w:pPr>
        <w:spacing w:before="240" w:after="240" w:line="240" w:lineRule="auto"/>
        <w:rPr>
          <w:rFonts w:ascii="Times New Roman" w:eastAsia="Times New Roman" w:hAnsi="Times New Roman" w:cs="Times New Roman"/>
          <w:b/>
          <w:bCs/>
          <w:sz w:val="20"/>
          <w:szCs w:val="20"/>
        </w:rPr>
      </w:pPr>
      <w:r w:rsidRPr="6A144131">
        <w:rPr>
          <w:rFonts w:ascii="Times New Roman" w:eastAsia="Times New Roman" w:hAnsi="Times New Roman" w:cs="Times New Roman"/>
          <w:b/>
          <w:bCs/>
          <w:sz w:val="20"/>
          <w:szCs w:val="20"/>
        </w:rPr>
        <w:t xml:space="preserve">Prospective International </w:t>
      </w:r>
      <w:r>
        <w:rPr>
          <w:rFonts w:ascii="Times New Roman" w:eastAsia="Times New Roman" w:hAnsi="Times New Roman" w:cs="Times New Roman"/>
          <w:b/>
          <w:bCs/>
          <w:sz w:val="20"/>
          <w:szCs w:val="20"/>
        </w:rPr>
        <w:t>Polic</w:t>
      </w:r>
      <w:r w:rsidR="00307C1F">
        <w:rPr>
          <w:rFonts w:ascii="Times New Roman" w:eastAsia="Times New Roman" w:hAnsi="Times New Roman" w:cs="Times New Roman"/>
          <w:b/>
          <w:bCs/>
          <w:sz w:val="20"/>
          <w:szCs w:val="20"/>
        </w:rPr>
        <w:t>ies</w:t>
      </w:r>
    </w:p>
    <w:p w14:paraId="36AC3C6C" w14:textId="77777777" w:rsidR="00307C1F" w:rsidRPr="00307C1F" w:rsidRDefault="00307C1F" w:rsidP="00A71B2B">
      <w:pPr>
        <w:spacing w:line="240" w:lineRule="auto"/>
        <w:rPr>
          <w:rFonts w:ascii="Times New Roman" w:eastAsia="Times New Roman" w:hAnsi="Times New Roman" w:cs="Times New Roman"/>
          <w:sz w:val="20"/>
          <w:szCs w:val="20"/>
        </w:rPr>
      </w:pPr>
      <w:r w:rsidRPr="00307C1F">
        <w:rPr>
          <w:rFonts w:ascii="Times New Roman" w:eastAsia="Times New Roman" w:hAnsi="Times New Roman" w:cs="Times New Roman"/>
          <w:sz w:val="20"/>
          <w:szCs w:val="20"/>
        </w:rPr>
        <w:t>Beyond legacy agreements, successful commercialization of SBSP will require new, purpose-built international policy mechanisms tailored to its technical, geopolitical, and equity challenges. One priority area is global spectrum allocation. Dedicated international agreements are needed to designate, protect, and harmonize frequency bands suitable for high-power wireless energy transmission. Spectrum reliability and predictability are prerequisites for SBSP investment; without them, national competition for bandwidth could destabilize both energy and communications systems.</w:t>
      </w:r>
    </w:p>
    <w:p w14:paraId="1D900A8B" w14:textId="4747A27B" w:rsidR="00307C1F" w:rsidRPr="00307C1F" w:rsidRDefault="00307C1F" w:rsidP="00A71B2B">
      <w:pPr>
        <w:spacing w:line="240" w:lineRule="auto"/>
        <w:rPr>
          <w:rFonts w:ascii="Times New Roman" w:eastAsia="Times New Roman" w:hAnsi="Times New Roman" w:cs="Times New Roman"/>
          <w:sz w:val="20"/>
          <w:szCs w:val="20"/>
        </w:rPr>
      </w:pPr>
      <w:r w:rsidRPr="00307C1F">
        <w:rPr>
          <w:rFonts w:ascii="Times New Roman" w:eastAsia="Times New Roman" w:hAnsi="Times New Roman" w:cs="Times New Roman"/>
          <w:sz w:val="20"/>
          <w:szCs w:val="20"/>
        </w:rPr>
        <w:t xml:space="preserve">Orbital slot management represents another critical governance gap. The placement of SBSP </w:t>
      </w:r>
      <w:r w:rsidR="007A1261" w:rsidRPr="00307C1F">
        <w:rPr>
          <w:rFonts w:ascii="Times New Roman" w:eastAsia="Times New Roman" w:hAnsi="Times New Roman" w:cs="Times New Roman"/>
          <w:sz w:val="20"/>
          <w:szCs w:val="20"/>
        </w:rPr>
        <w:t xml:space="preserve">satellites, </w:t>
      </w:r>
      <w:r w:rsidRPr="00307C1F">
        <w:rPr>
          <w:rFonts w:ascii="Times New Roman" w:eastAsia="Times New Roman" w:hAnsi="Times New Roman" w:cs="Times New Roman"/>
          <w:sz w:val="20"/>
          <w:szCs w:val="20"/>
        </w:rPr>
        <w:t>particularly in geostationary orbit</w:t>
      </w:r>
      <w:r w:rsidR="007A1261">
        <w:rPr>
          <w:rFonts w:ascii="Times New Roman" w:eastAsia="Times New Roman" w:hAnsi="Times New Roman" w:cs="Times New Roman"/>
          <w:sz w:val="20"/>
          <w:szCs w:val="20"/>
        </w:rPr>
        <w:t xml:space="preserve">, </w:t>
      </w:r>
      <w:r w:rsidRPr="00307C1F">
        <w:rPr>
          <w:rFonts w:ascii="Times New Roman" w:eastAsia="Times New Roman" w:hAnsi="Times New Roman" w:cs="Times New Roman"/>
          <w:sz w:val="20"/>
          <w:szCs w:val="20"/>
        </w:rPr>
        <w:t>requires careful coordination to avoid physical collisions, electromagnetic interference, and orbital congestion. SBSP systems are larger, more power-intensive, and more persistent than most existing satellites, placing new demands on space traffic management. International agreements are therefore required to define orbital allocation rules, collision-avoidance protocols, station-keeping obligations, and end-of-life disposal requirements. Absent such coordination, fragmented orbital governance could incentivize unilateral deployment and exacerbate geopolitical tensions.</w:t>
      </w:r>
    </w:p>
    <w:p w14:paraId="74A1BE97" w14:textId="77777777" w:rsidR="00307C1F" w:rsidRPr="00307C1F" w:rsidRDefault="00307C1F" w:rsidP="00A71B2B">
      <w:pPr>
        <w:spacing w:line="240" w:lineRule="auto"/>
        <w:rPr>
          <w:rFonts w:ascii="Times New Roman" w:eastAsia="Times New Roman" w:hAnsi="Times New Roman" w:cs="Times New Roman"/>
          <w:sz w:val="20"/>
          <w:szCs w:val="20"/>
        </w:rPr>
      </w:pPr>
      <w:r w:rsidRPr="00307C1F">
        <w:rPr>
          <w:rFonts w:ascii="Times New Roman" w:eastAsia="Times New Roman" w:hAnsi="Times New Roman" w:cs="Times New Roman"/>
          <w:sz w:val="20"/>
          <w:szCs w:val="20"/>
        </w:rPr>
        <w:t>SBSP also introduces novel liability challenges that exceed the scope of existing frameworks. These include risks associated with wireless power transmission, orbital debris generation and mitigation, and potential future resource extraction activities. Addressing these risks may require a new multilateral liability regime incorporating shared insurance mechanisms, performance-based safety certification, and clearer standards of fault and compensation. Reducing legal uncertainty is essential for attracting private capital and integrating SBSP into global energy markets.</w:t>
      </w:r>
    </w:p>
    <w:p w14:paraId="7E9542EB" w14:textId="289B91AA" w:rsidR="00307C1F" w:rsidRPr="00307C1F" w:rsidRDefault="00307C1F" w:rsidP="00A71B2B">
      <w:pPr>
        <w:spacing w:line="240" w:lineRule="auto"/>
        <w:rPr>
          <w:rFonts w:ascii="Times New Roman" w:eastAsia="Times New Roman" w:hAnsi="Times New Roman" w:cs="Times New Roman"/>
          <w:sz w:val="20"/>
          <w:szCs w:val="20"/>
        </w:rPr>
      </w:pPr>
      <w:r w:rsidRPr="00307C1F">
        <w:rPr>
          <w:rFonts w:ascii="Times New Roman" w:eastAsia="Times New Roman" w:hAnsi="Times New Roman" w:cs="Times New Roman"/>
          <w:sz w:val="20"/>
          <w:szCs w:val="20"/>
        </w:rPr>
        <w:t>Equally important are questions concerning the distribution of benefits and decision-making authority. International agreements could address these concerns through provisions for technology transfer, capacity building, joint infrastructure financing, and priority deployment in energy-insecure or developing regions. Such measures would reinforce the principles of equity and universality while enhancing political legitimacy.</w:t>
      </w:r>
    </w:p>
    <w:p w14:paraId="7557362F" w14:textId="77777777" w:rsidR="00307C1F" w:rsidRPr="00307C1F" w:rsidRDefault="00307C1F" w:rsidP="00A71B2B">
      <w:pPr>
        <w:spacing w:line="240" w:lineRule="auto"/>
        <w:rPr>
          <w:rFonts w:ascii="Times New Roman" w:eastAsia="Times New Roman" w:hAnsi="Times New Roman" w:cs="Times New Roman"/>
          <w:b/>
          <w:bCs/>
          <w:sz w:val="20"/>
          <w:szCs w:val="20"/>
        </w:rPr>
      </w:pPr>
      <w:r w:rsidRPr="00307C1F">
        <w:rPr>
          <w:rFonts w:ascii="Times New Roman" w:eastAsia="Times New Roman" w:hAnsi="Times New Roman" w:cs="Times New Roman"/>
          <w:b/>
          <w:bCs/>
          <w:sz w:val="20"/>
          <w:szCs w:val="20"/>
        </w:rPr>
        <w:lastRenderedPageBreak/>
        <w:t>Institutional Integration</w:t>
      </w:r>
    </w:p>
    <w:p w14:paraId="0643421C" w14:textId="5B96C08B" w:rsidR="00307C1F" w:rsidRDefault="00307C1F" w:rsidP="00A71B2B">
      <w:pPr>
        <w:spacing w:line="240" w:lineRule="auto"/>
        <w:rPr>
          <w:rFonts w:ascii="Times New Roman" w:eastAsia="Times New Roman" w:hAnsi="Times New Roman" w:cs="Times New Roman"/>
          <w:sz w:val="20"/>
          <w:szCs w:val="20"/>
        </w:rPr>
      </w:pPr>
      <w:r w:rsidRPr="00307C1F">
        <w:rPr>
          <w:rFonts w:ascii="Times New Roman" w:eastAsia="Times New Roman" w:hAnsi="Times New Roman" w:cs="Times New Roman"/>
          <w:sz w:val="20"/>
          <w:szCs w:val="20"/>
        </w:rPr>
        <w:t>Institutional feasibility favors integrating SBSP governance into existing international organizations rather than creating entirely new structures. The ITU is well positioned to manage spectrum allocation; the IEA can incorporate SBSP into global energy modeling and policy analysis; and the United Nations COPUOS can oversee orbital sustainability and space traffic coordination. To enhance coherence across these domains, an International SBSP Council could be established to coordinate standards, promote transparency, and facilitate compliance across institutional boundaries (</w:t>
      </w:r>
      <w:r w:rsidR="001946F8">
        <w:rPr>
          <w:rFonts w:ascii="Times New Roman" w:eastAsia="Times New Roman" w:hAnsi="Times New Roman" w:cs="Times New Roman"/>
          <w:sz w:val="20"/>
          <w:szCs w:val="20"/>
        </w:rPr>
        <w:t>Jakhu &amp; Pelton 2017; Oltrogge &amp; Christensen 2020</w:t>
      </w:r>
      <w:r w:rsidRPr="00307C1F">
        <w:rPr>
          <w:rFonts w:ascii="Times New Roman" w:eastAsia="Times New Roman" w:hAnsi="Times New Roman" w:cs="Times New Roman"/>
          <w:sz w:val="20"/>
          <w:szCs w:val="20"/>
        </w:rPr>
        <w:t>). Such coordination would reduce fragmentation and support the emergence of a coherent global SBSP governance regime.</w:t>
      </w:r>
    </w:p>
    <w:p w14:paraId="484634BE" w14:textId="77777777" w:rsidR="001E384E" w:rsidRPr="001E384E" w:rsidRDefault="001E384E" w:rsidP="00A71B2B">
      <w:pPr>
        <w:spacing w:line="240" w:lineRule="auto"/>
        <w:rPr>
          <w:rFonts w:ascii="Times New Roman" w:eastAsia="Times New Roman" w:hAnsi="Times New Roman" w:cs="Times New Roman"/>
          <w:b/>
          <w:bCs/>
          <w:sz w:val="20"/>
          <w:szCs w:val="20"/>
        </w:rPr>
      </w:pPr>
      <w:r w:rsidRPr="001E384E">
        <w:rPr>
          <w:rFonts w:ascii="Times New Roman" w:eastAsia="Times New Roman" w:hAnsi="Times New Roman" w:cs="Times New Roman"/>
          <w:b/>
          <w:bCs/>
          <w:sz w:val="20"/>
          <w:szCs w:val="20"/>
        </w:rPr>
        <w:t>International Incentive Mechanisms</w:t>
      </w:r>
    </w:p>
    <w:p w14:paraId="0BB461D1" w14:textId="77777777" w:rsidR="005D066A" w:rsidRDefault="00054101"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Few e</w:t>
      </w:r>
      <w:r w:rsidR="000405BC" w:rsidRPr="000405BC">
        <w:rPr>
          <w:rFonts w:ascii="Times New Roman" w:eastAsia="Times New Roman" w:hAnsi="Times New Roman" w:cs="Times New Roman"/>
          <w:sz w:val="20"/>
          <w:szCs w:val="20"/>
        </w:rPr>
        <w:t xml:space="preserve">xisting international incentive mechanisms offer </w:t>
      </w:r>
      <w:r>
        <w:rPr>
          <w:rFonts w:ascii="Times New Roman" w:eastAsia="Times New Roman" w:hAnsi="Times New Roman" w:cs="Times New Roman"/>
          <w:sz w:val="20"/>
          <w:szCs w:val="20"/>
        </w:rPr>
        <w:t>direct</w:t>
      </w:r>
      <w:r w:rsidR="004F7440">
        <w:rPr>
          <w:rFonts w:ascii="Times New Roman" w:eastAsia="Times New Roman" w:hAnsi="Times New Roman" w:cs="Times New Roman"/>
          <w:sz w:val="20"/>
          <w:szCs w:val="20"/>
        </w:rPr>
        <w:t xml:space="preserve"> lessons</w:t>
      </w:r>
      <w:r w:rsidR="000405BC" w:rsidRPr="000405BC">
        <w:rPr>
          <w:rFonts w:ascii="Times New Roman" w:eastAsia="Times New Roman" w:hAnsi="Times New Roman" w:cs="Times New Roman"/>
          <w:sz w:val="20"/>
          <w:szCs w:val="20"/>
        </w:rPr>
        <w:t xml:space="preserve"> for prospective </w:t>
      </w:r>
      <w:r w:rsidR="000405BC">
        <w:rPr>
          <w:rFonts w:ascii="Times New Roman" w:eastAsia="Times New Roman" w:hAnsi="Times New Roman" w:cs="Times New Roman"/>
          <w:sz w:val="20"/>
          <w:szCs w:val="20"/>
        </w:rPr>
        <w:t xml:space="preserve">SBSP policy </w:t>
      </w:r>
      <w:r w:rsidR="000405BC" w:rsidRPr="000405BC">
        <w:rPr>
          <w:rFonts w:ascii="Times New Roman" w:eastAsia="Times New Roman" w:hAnsi="Times New Roman" w:cs="Times New Roman"/>
          <w:sz w:val="20"/>
          <w:szCs w:val="20"/>
        </w:rPr>
        <w:t>development. Experience from the sustainable energy</w:t>
      </w:r>
      <w:r>
        <w:rPr>
          <w:rFonts w:ascii="Times New Roman" w:eastAsia="Times New Roman" w:hAnsi="Times New Roman" w:cs="Times New Roman"/>
          <w:sz w:val="20"/>
          <w:szCs w:val="20"/>
        </w:rPr>
        <w:t xml:space="preserve"> and climate policy</w:t>
      </w:r>
      <w:r w:rsidR="000405BC" w:rsidRPr="000405BC">
        <w:rPr>
          <w:rFonts w:ascii="Times New Roman" w:eastAsia="Times New Roman" w:hAnsi="Times New Roman" w:cs="Times New Roman"/>
          <w:sz w:val="20"/>
          <w:szCs w:val="20"/>
        </w:rPr>
        <w:t xml:space="preserve"> domain is </w:t>
      </w:r>
      <w:r>
        <w:rPr>
          <w:rFonts w:ascii="Times New Roman" w:eastAsia="Times New Roman" w:hAnsi="Times New Roman" w:cs="Times New Roman"/>
          <w:sz w:val="20"/>
          <w:szCs w:val="20"/>
        </w:rPr>
        <w:t>nonetheless instructive</w:t>
      </w:r>
      <w:r w:rsidR="000405BC" w:rsidRPr="000405BC">
        <w:rPr>
          <w:rFonts w:ascii="Times New Roman" w:eastAsia="Times New Roman" w:hAnsi="Times New Roman" w:cs="Times New Roman"/>
          <w:sz w:val="20"/>
          <w:szCs w:val="20"/>
        </w:rPr>
        <w:t>. During the Kyoto</w:t>
      </w:r>
      <w:r w:rsidR="000405BC">
        <w:rPr>
          <w:rFonts w:ascii="Times New Roman" w:eastAsia="Times New Roman" w:hAnsi="Times New Roman" w:cs="Times New Roman"/>
          <w:sz w:val="20"/>
          <w:szCs w:val="20"/>
        </w:rPr>
        <w:t xml:space="preserve"> Protocol</w:t>
      </w:r>
      <w:r w:rsidR="000405BC">
        <w:rPr>
          <w:rStyle w:val="FootnoteReference"/>
          <w:rFonts w:ascii="Times New Roman" w:eastAsia="Times New Roman" w:hAnsi="Times New Roman" w:cs="Times New Roman"/>
          <w:sz w:val="20"/>
          <w:szCs w:val="20"/>
        </w:rPr>
        <w:footnoteReference w:id="5"/>
      </w:r>
      <w:r w:rsidR="000405BC" w:rsidRPr="000405BC">
        <w:rPr>
          <w:rFonts w:ascii="Times New Roman" w:eastAsia="Times New Roman" w:hAnsi="Times New Roman" w:cs="Times New Roman"/>
          <w:sz w:val="20"/>
          <w:szCs w:val="20"/>
        </w:rPr>
        <w:t xml:space="preserve"> era, the Clean Development Mechanism (CDM) compensated developing countries for verified emissions reductions</w:t>
      </w:r>
      <w:r w:rsidR="000405BC">
        <w:rPr>
          <w:rFonts w:ascii="Times New Roman" w:eastAsia="Times New Roman" w:hAnsi="Times New Roman" w:cs="Times New Roman"/>
          <w:sz w:val="20"/>
          <w:szCs w:val="20"/>
        </w:rPr>
        <w:t xml:space="preserve"> while delivering limited transformational change in host countries (</w:t>
      </w:r>
      <w:r w:rsidR="00FD3191">
        <w:rPr>
          <w:rFonts w:ascii="Times New Roman" w:eastAsia="Times New Roman" w:hAnsi="Times New Roman" w:cs="Times New Roman"/>
          <w:sz w:val="20"/>
          <w:szCs w:val="20"/>
        </w:rPr>
        <w:t>Driesen, 2008).</w:t>
      </w:r>
      <w:r w:rsidR="000405BC" w:rsidRPr="000405BC">
        <w:rPr>
          <w:rFonts w:ascii="Times New Roman" w:eastAsia="Times New Roman" w:hAnsi="Times New Roman" w:cs="Times New Roman"/>
          <w:sz w:val="20"/>
          <w:szCs w:val="20"/>
        </w:rPr>
        <w:t xml:space="preserve"> Article 6 of the Paris Agreement enables internationally transferred mitigation outcomes (ITMOs) that monetize emissions reductions across borders</w:t>
      </w:r>
      <w:r w:rsidR="006725D1">
        <w:rPr>
          <w:rFonts w:ascii="Times New Roman" w:eastAsia="Times New Roman" w:hAnsi="Times New Roman" w:cs="Times New Roman"/>
          <w:sz w:val="20"/>
          <w:szCs w:val="20"/>
        </w:rPr>
        <w:t xml:space="preserve"> while introducing significant governance and integrity challenges</w:t>
      </w:r>
      <w:r w:rsidR="007A7A83">
        <w:rPr>
          <w:rFonts w:ascii="Times New Roman" w:eastAsia="Times New Roman" w:hAnsi="Times New Roman" w:cs="Times New Roman"/>
          <w:sz w:val="20"/>
          <w:szCs w:val="20"/>
        </w:rPr>
        <w:t xml:space="preserve"> (Schneider &amp; Theuer, 2019)</w:t>
      </w:r>
      <w:r w:rsidR="000405BC" w:rsidRPr="000405BC">
        <w:rPr>
          <w:rFonts w:ascii="Times New Roman" w:eastAsia="Times New Roman" w:hAnsi="Times New Roman" w:cs="Times New Roman"/>
          <w:sz w:val="20"/>
          <w:szCs w:val="20"/>
        </w:rPr>
        <w:t xml:space="preserve">. </w:t>
      </w:r>
    </w:p>
    <w:p w14:paraId="3F402DA4" w14:textId="576FFF68" w:rsidR="005D066A" w:rsidRDefault="000405BC" w:rsidP="00A71B2B">
      <w:pPr>
        <w:spacing w:line="240" w:lineRule="auto"/>
        <w:rPr>
          <w:rFonts w:ascii="Times New Roman" w:eastAsia="Times New Roman" w:hAnsi="Times New Roman" w:cs="Times New Roman"/>
          <w:sz w:val="20"/>
          <w:szCs w:val="20"/>
        </w:rPr>
      </w:pPr>
      <w:r w:rsidRPr="000405BC">
        <w:rPr>
          <w:rFonts w:ascii="Times New Roman" w:eastAsia="Times New Roman" w:hAnsi="Times New Roman" w:cs="Times New Roman"/>
          <w:sz w:val="20"/>
          <w:szCs w:val="20"/>
        </w:rPr>
        <w:t>In parallel, multilateral development banks</w:t>
      </w:r>
      <w:r w:rsidR="004F7440">
        <w:rPr>
          <w:rFonts w:ascii="Times New Roman" w:eastAsia="Times New Roman" w:hAnsi="Times New Roman" w:cs="Times New Roman"/>
          <w:sz w:val="20"/>
          <w:szCs w:val="20"/>
        </w:rPr>
        <w:t xml:space="preserve">, </w:t>
      </w:r>
      <w:r w:rsidRPr="000405BC">
        <w:rPr>
          <w:rFonts w:ascii="Times New Roman" w:eastAsia="Times New Roman" w:hAnsi="Times New Roman" w:cs="Times New Roman"/>
          <w:sz w:val="20"/>
          <w:szCs w:val="20"/>
        </w:rPr>
        <w:t>including the World Bank, the Asian Development Bank, the African Development Bank, and the European Investment Bank</w:t>
      </w:r>
      <w:r w:rsidR="004F7440">
        <w:rPr>
          <w:rFonts w:ascii="Times New Roman" w:eastAsia="Times New Roman" w:hAnsi="Times New Roman" w:cs="Times New Roman"/>
          <w:sz w:val="20"/>
          <w:szCs w:val="20"/>
        </w:rPr>
        <w:t xml:space="preserve">, </w:t>
      </w:r>
      <w:r w:rsidRPr="000405BC">
        <w:rPr>
          <w:rFonts w:ascii="Times New Roman" w:eastAsia="Times New Roman" w:hAnsi="Times New Roman" w:cs="Times New Roman"/>
          <w:sz w:val="20"/>
          <w:szCs w:val="20"/>
        </w:rPr>
        <w:t xml:space="preserve">provide concessional financing that lowers the cost of capital and reduces investment risk </w:t>
      </w:r>
      <w:r w:rsidR="006725D1">
        <w:rPr>
          <w:rFonts w:ascii="Times New Roman" w:eastAsia="Times New Roman" w:hAnsi="Times New Roman" w:cs="Times New Roman"/>
          <w:sz w:val="20"/>
          <w:szCs w:val="20"/>
        </w:rPr>
        <w:t>for</w:t>
      </w:r>
      <w:r w:rsidR="007A7A83">
        <w:rPr>
          <w:rFonts w:ascii="Times New Roman" w:eastAsia="Times New Roman" w:hAnsi="Times New Roman" w:cs="Times New Roman"/>
          <w:sz w:val="20"/>
          <w:szCs w:val="20"/>
        </w:rPr>
        <w:t xml:space="preserve"> green energy </w:t>
      </w:r>
      <w:r w:rsidR="006725D1">
        <w:rPr>
          <w:rFonts w:ascii="Times New Roman" w:eastAsia="Times New Roman" w:hAnsi="Times New Roman" w:cs="Times New Roman"/>
          <w:sz w:val="20"/>
          <w:szCs w:val="20"/>
        </w:rPr>
        <w:t>projects</w:t>
      </w:r>
      <w:r w:rsidRPr="000405BC">
        <w:rPr>
          <w:rFonts w:ascii="Times New Roman" w:eastAsia="Times New Roman" w:hAnsi="Times New Roman" w:cs="Times New Roman"/>
          <w:sz w:val="20"/>
          <w:szCs w:val="20"/>
        </w:rPr>
        <w:t>.</w:t>
      </w:r>
      <w:r w:rsidR="004F7440">
        <w:rPr>
          <w:rFonts w:ascii="Times New Roman" w:eastAsia="Times New Roman" w:hAnsi="Times New Roman" w:cs="Times New Roman"/>
          <w:sz w:val="20"/>
          <w:szCs w:val="20"/>
        </w:rPr>
        <w:t xml:space="preserve"> </w:t>
      </w:r>
      <w:r w:rsidRPr="000405BC">
        <w:rPr>
          <w:rFonts w:ascii="Times New Roman" w:eastAsia="Times New Roman" w:hAnsi="Times New Roman" w:cs="Times New Roman"/>
          <w:sz w:val="20"/>
          <w:szCs w:val="20"/>
        </w:rPr>
        <w:t>Additional support is provided through targeted and politically selective global climate funds</w:t>
      </w:r>
      <w:r w:rsidR="006725D1">
        <w:rPr>
          <w:rFonts w:ascii="Times New Roman" w:eastAsia="Times New Roman" w:hAnsi="Times New Roman" w:cs="Times New Roman"/>
          <w:sz w:val="20"/>
          <w:szCs w:val="20"/>
        </w:rPr>
        <w:t>,</w:t>
      </w:r>
      <w:r w:rsidR="004F7440">
        <w:rPr>
          <w:rFonts w:ascii="Times New Roman" w:eastAsia="Times New Roman" w:hAnsi="Times New Roman" w:cs="Times New Roman"/>
          <w:sz w:val="20"/>
          <w:szCs w:val="20"/>
        </w:rPr>
        <w:t xml:space="preserve"> primarily </w:t>
      </w:r>
      <w:r w:rsidR="006725D1">
        <w:rPr>
          <w:rFonts w:ascii="Times New Roman" w:eastAsia="Times New Roman" w:hAnsi="Times New Roman" w:cs="Times New Roman"/>
          <w:sz w:val="20"/>
          <w:szCs w:val="20"/>
        </w:rPr>
        <w:t xml:space="preserve">financed by </w:t>
      </w:r>
      <w:r w:rsidR="004F7440">
        <w:rPr>
          <w:rFonts w:ascii="Times New Roman" w:eastAsia="Times New Roman" w:hAnsi="Times New Roman" w:cs="Times New Roman"/>
          <w:sz w:val="20"/>
          <w:szCs w:val="20"/>
        </w:rPr>
        <w:t>developed countries</w:t>
      </w:r>
      <w:r w:rsidRPr="000405BC">
        <w:rPr>
          <w:rFonts w:ascii="Times New Roman" w:eastAsia="Times New Roman" w:hAnsi="Times New Roman" w:cs="Times New Roman"/>
          <w:sz w:val="20"/>
          <w:szCs w:val="20"/>
        </w:rPr>
        <w:t xml:space="preserve">, such as the Green Climate Fund (GCF), the Global Environment Facility (GEF), and the Climate Investment Funds (CIFs), which deliver grants or concessional finance tied to climate objectives, </w:t>
      </w:r>
      <w:r w:rsidR="006D1689">
        <w:rPr>
          <w:rFonts w:ascii="Times New Roman" w:eastAsia="Times New Roman" w:hAnsi="Times New Roman" w:cs="Times New Roman"/>
          <w:sz w:val="20"/>
          <w:szCs w:val="20"/>
        </w:rPr>
        <w:t>largely</w:t>
      </w:r>
      <w:r w:rsidRPr="000405BC">
        <w:rPr>
          <w:rFonts w:ascii="Times New Roman" w:eastAsia="Times New Roman" w:hAnsi="Times New Roman" w:cs="Times New Roman"/>
          <w:sz w:val="20"/>
          <w:szCs w:val="20"/>
        </w:rPr>
        <w:t xml:space="preserve"> in developing countries. </w:t>
      </w:r>
    </w:p>
    <w:p w14:paraId="0294B8D1" w14:textId="32D63E5F" w:rsidR="000405BC" w:rsidRDefault="006D1689"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Collectively, t</w:t>
      </w:r>
      <w:r w:rsidR="000405BC" w:rsidRPr="000405BC">
        <w:rPr>
          <w:rFonts w:ascii="Times New Roman" w:eastAsia="Times New Roman" w:hAnsi="Times New Roman" w:cs="Times New Roman"/>
          <w:sz w:val="20"/>
          <w:szCs w:val="20"/>
        </w:rPr>
        <w:t xml:space="preserve">hese mechanisms </w:t>
      </w:r>
      <w:r w:rsidR="006725D1">
        <w:rPr>
          <w:rFonts w:ascii="Times New Roman" w:eastAsia="Times New Roman" w:hAnsi="Times New Roman" w:cs="Times New Roman"/>
          <w:sz w:val="20"/>
          <w:szCs w:val="20"/>
        </w:rPr>
        <w:t>operate</w:t>
      </w:r>
      <w:r w:rsidR="000405BC" w:rsidRPr="000405BC">
        <w:rPr>
          <w:rFonts w:ascii="Times New Roman" w:eastAsia="Times New Roman" w:hAnsi="Times New Roman" w:cs="Times New Roman"/>
          <w:sz w:val="20"/>
          <w:szCs w:val="20"/>
        </w:rPr>
        <w:t xml:space="preserve"> less as </w:t>
      </w:r>
      <w:r w:rsidR="006725D1">
        <w:rPr>
          <w:rFonts w:ascii="Times New Roman" w:eastAsia="Times New Roman" w:hAnsi="Times New Roman" w:cs="Times New Roman"/>
          <w:sz w:val="20"/>
          <w:szCs w:val="20"/>
        </w:rPr>
        <w:t>conventional</w:t>
      </w:r>
      <w:r w:rsidR="000405BC" w:rsidRPr="000405BC">
        <w:rPr>
          <w:rFonts w:ascii="Times New Roman" w:eastAsia="Times New Roman" w:hAnsi="Times New Roman" w:cs="Times New Roman"/>
          <w:sz w:val="20"/>
          <w:szCs w:val="20"/>
        </w:rPr>
        <w:t xml:space="preserve"> incentives than as enabling and de-risking instruments that facilitate investment under conditions of</w:t>
      </w:r>
      <w:r w:rsidR="006725D1">
        <w:rPr>
          <w:rFonts w:ascii="Times New Roman" w:eastAsia="Times New Roman" w:hAnsi="Times New Roman" w:cs="Times New Roman"/>
          <w:sz w:val="20"/>
          <w:szCs w:val="20"/>
        </w:rPr>
        <w:t xml:space="preserve"> technological, regulatory, and market</w:t>
      </w:r>
      <w:r w:rsidR="000405BC" w:rsidRPr="000405BC">
        <w:rPr>
          <w:rFonts w:ascii="Times New Roman" w:eastAsia="Times New Roman" w:hAnsi="Times New Roman" w:cs="Times New Roman"/>
          <w:sz w:val="20"/>
          <w:szCs w:val="20"/>
        </w:rPr>
        <w:t xml:space="preserve"> uncertainty.</w:t>
      </w:r>
      <w:r w:rsidR="005D066A">
        <w:rPr>
          <w:rFonts w:ascii="Times New Roman" w:eastAsia="Times New Roman" w:hAnsi="Times New Roman" w:cs="Times New Roman"/>
          <w:sz w:val="20"/>
          <w:szCs w:val="20"/>
        </w:rPr>
        <w:t xml:space="preserve"> </w:t>
      </w:r>
      <w:r w:rsidR="00776FF2" w:rsidRPr="00776FF2">
        <w:rPr>
          <w:rFonts w:ascii="Times New Roman" w:eastAsia="Times New Roman" w:hAnsi="Times New Roman" w:cs="Times New Roman"/>
          <w:sz w:val="20"/>
          <w:szCs w:val="20"/>
        </w:rPr>
        <w:t xml:space="preserve">Ensuring global equity requires financial instruments that expand access to developing economies. A dedicated Global SBSP Fund, administered by a multilateral institution, could support technology transfer, workforce </w:t>
      </w:r>
      <w:r>
        <w:rPr>
          <w:rFonts w:ascii="Times New Roman" w:eastAsia="Times New Roman" w:hAnsi="Times New Roman" w:cs="Times New Roman"/>
          <w:sz w:val="20"/>
          <w:szCs w:val="20"/>
        </w:rPr>
        <w:t>development</w:t>
      </w:r>
      <w:r w:rsidR="00776FF2" w:rsidRPr="00776FF2">
        <w:rPr>
          <w:rFonts w:ascii="Times New Roman" w:eastAsia="Times New Roman" w:hAnsi="Times New Roman" w:cs="Times New Roman"/>
          <w:sz w:val="20"/>
          <w:szCs w:val="20"/>
        </w:rPr>
        <w:t>, and deployment in energy-insecure regions, aligning SBSP with climate adaptation and sustainable development finance (Okereke, 2010).</w:t>
      </w:r>
    </w:p>
    <w:p w14:paraId="4D489CB6" w14:textId="675D6D9E" w:rsidR="0F09D31E" w:rsidRPr="002742D6" w:rsidRDefault="0F09D31E" w:rsidP="00A71B2B">
      <w:pPr>
        <w:pStyle w:val="ListParagraph"/>
        <w:numPr>
          <w:ilvl w:val="2"/>
          <w:numId w:val="32"/>
        </w:numPr>
        <w:spacing w:line="240" w:lineRule="auto"/>
        <w:rPr>
          <w:rFonts w:ascii="Times New Roman" w:eastAsia="Times New Roman" w:hAnsi="Times New Roman" w:cs="Times New Roman"/>
          <w:b/>
          <w:bCs/>
          <w:sz w:val="20"/>
          <w:szCs w:val="20"/>
        </w:rPr>
      </w:pPr>
      <w:r w:rsidRPr="002742D6">
        <w:rPr>
          <w:rFonts w:ascii="Times New Roman" w:eastAsia="Times New Roman" w:hAnsi="Times New Roman" w:cs="Times New Roman"/>
          <w:b/>
          <w:bCs/>
          <w:sz w:val="20"/>
          <w:szCs w:val="20"/>
        </w:rPr>
        <w:t>Domestic Policy Mechanisms</w:t>
      </w:r>
    </w:p>
    <w:p w14:paraId="7A88B1AB" w14:textId="20AC68D8" w:rsidR="003C2C4C" w:rsidRPr="003C2C4C" w:rsidRDefault="003C2C4C" w:rsidP="00A71B2B">
      <w:pPr>
        <w:spacing w:line="240" w:lineRule="auto"/>
        <w:rPr>
          <w:rFonts w:ascii="Times New Roman" w:eastAsia="Times New Roman" w:hAnsi="Times New Roman" w:cs="Times New Roman"/>
          <w:sz w:val="20"/>
          <w:szCs w:val="20"/>
        </w:rPr>
      </w:pPr>
      <w:r w:rsidRPr="003C2C4C">
        <w:rPr>
          <w:rFonts w:ascii="Times New Roman" w:eastAsia="Times New Roman" w:hAnsi="Times New Roman" w:cs="Times New Roman"/>
          <w:sz w:val="20"/>
          <w:szCs w:val="20"/>
        </w:rPr>
        <w:t>Domestic policy mechanisms constitute the implementation core of SBSP governance. While international treaties establish shared norms and legitimacy, the deployment and operation of SBSP infrastructure occur primarily within national legal and regulatory systems. Domestic policies therefore translate global principles into enforceable rules governing siting, licensing, safety, and integration with existing energy and communications systems.</w:t>
      </w:r>
    </w:p>
    <w:p w14:paraId="5F6C02BB" w14:textId="0D9ADE57" w:rsidR="003C2C4C" w:rsidRPr="003C2C4C" w:rsidRDefault="003C2C4C" w:rsidP="00A71B2B">
      <w:pPr>
        <w:spacing w:line="240" w:lineRule="auto"/>
        <w:rPr>
          <w:rFonts w:ascii="Times New Roman" w:eastAsia="Times New Roman" w:hAnsi="Times New Roman" w:cs="Times New Roman"/>
          <w:sz w:val="20"/>
          <w:szCs w:val="20"/>
        </w:rPr>
      </w:pPr>
      <w:r w:rsidRPr="003C2C4C">
        <w:rPr>
          <w:rFonts w:ascii="Times New Roman" w:eastAsia="Times New Roman" w:hAnsi="Times New Roman" w:cs="Times New Roman"/>
          <w:sz w:val="20"/>
          <w:szCs w:val="20"/>
        </w:rPr>
        <w:t>National frameworks determine how rectennas are sited, how land-use conflicts are resolved, and how environmental and public health risks</w:t>
      </w:r>
      <w:r w:rsidR="007A1261">
        <w:rPr>
          <w:rFonts w:ascii="Times New Roman" w:eastAsia="Times New Roman" w:hAnsi="Times New Roman" w:cs="Times New Roman"/>
          <w:sz w:val="20"/>
          <w:szCs w:val="20"/>
        </w:rPr>
        <w:t xml:space="preserve">, </w:t>
      </w:r>
      <w:r w:rsidRPr="003C2C4C">
        <w:rPr>
          <w:rFonts w:ascii="Times New Roman" w:eastAsia="Times New Roman" w:hAnsi="Times New Roman" w:cs="Times New Roman"/>
          <w:sz w:val="20"/>
          <w:szCs w:val="20"/>
        </w:rPr>
        <w:t>particularly those associated with microwave or laser transmission</w:t>
      </w:r>
      <w:r w:rsidR="007A1261">
        <w:rPr>
          <w:rFonts w:ascii="Times New Roman" w:eastAsia="Times New Roman" w:hAnsi="Times New Roman" w:cs="Times New Roman"/>
          <w:sz w:val="20"/>
          <w:szCs w:val="20"/>
        </w:rPr>
        <w:t xml:space="preserve">, </w:t>
      </w:r>
      <w:r w:rsidRPr="003C2C4C">
        <w:rPr>
          <w:rFonts w:ascii="Times New Roman" w:eastAsia="Times New Roman" w:hAnsi="Times New Roman" w:cs="Times New Roman"/>
          <w:sz w:val="20"/>
          <w:szCs w:val="20"/>
        </w:rPr>
        <w:t>are assessed and managed. They also establish licensing and authorization requirements for SBSP operators, including launch approval, spectrum access, safety oversight, environmental review, and local permitting. These mechanisms ensure that SBSP deployment aligns with domestic environmental standards, energy planning objectives, and community interests.</w:t>
      </w:r>
    </w:p>
    <w:p w14:paraId="11BCB144" w14:textId="7F982AAF" w:rsidR="00D80F34" w:rsidRDefault="00D80F34" w:rsidP="00A71B2B">
      <w:pPr>
        <w:spacing w:line="240" w:lineRule="auto"/>
        <w:rPr>
          <w:rFonts w:ascii="Times New Roman" w:eastAsia="Times New Roman" w:hAnsi="Times New Roman" w:cs="Times New Roman"/>
          <w:sz w:val="20"/>
          <w:szCs w:val="20"/>
        </w:rPr>
      </w:pPr>
      <w:r w:rsidRPr="00D80F34">
        <w:rPr>
          <w:rFonts w:ascii="Times New Roman" w:eastAsia="Times New Roman" w:hAnsi="Times New Roman" w:cs="Times New Roman"/>
          <w:sz w:val="20"/>
          <w:szCs w:val="20"/>
        </w:rPr>
        <w:t>States are generally understood to retain sovereign authority to grant or withhold consent for SBSP infrastructure located within their territory (Mefteh, 2024</w:t>
      </w:r>
      <w:r w:rsidR="00EF0E05">
        <w:rPr>
          <w:rFonts w:ascii="Times New Roman" w:eastAsia="Times New Roman" w:hAnsi="Times New Roman" w:cs="Times New Roman"/>
          <w:sz w:val="20"/>
          <w:szCs w:val="20"/>
        </w:rPr>
        <w:t>)</w:t>
      </w:r>
      <w:r w:rsidRPr="00D80F34">
        <w:rPr>
          <w:rFonts w:ascii="Times New Roman" w:eastAsia="Times New Roman" w:hAnsi="Times New Roman" w:cs="Times New Roman"/>
          <w:sz w:val="20"/>
          <w:szCs w:val="20"/>
        </w:rPr>
        <w:t>. As a result, transparent and participatory national decision-making processes are essential to public legitimacy, ensuring that affected communities are treated as active stakeholders rather than passive recipients of externally driven infrastructure</w:t>
      </w:r>
      <w:r w:rsidR="00EF0E05">
        <w:rPr>
          <w:rFonts w:ascii="Times New Roman" w:eastAsia="Times New Roman" w:hAnsi="Times New Roman" w:cs="Times New Roman"/>
          <w:sz w:val="20"/>
          <w:szCs w:val="20"/>
        </w:rPr>
        <w:t xml:space="preserve"> (de Zwart et al., 2023</w:t>
      </w:r>
      <w:r w:rsidR="00EF0E05" w:rsidRPr="00D80F34">
        <w:rPr>
          <w:rFonts w:ascii="Times New Roman" w:eastAsia="Times New Roman" w:hAnsi="Times New Roman" w:cs="Times New Roman"/>
          <w:sz w:val="20"/>
          <w:szCs w:val="20"/>
        </w:rPr>
        <w:t>)</w:t>
      </w:r>
      <w:r w:rsidRPr="00D80F34">
        <w:rPr>
          <w:rFonts w:ascii="Times New Roman" w:eastAsia="Times New Roman" w:hAnsi="Times New Roman" w:cs="Times New Roman"/>
          <w:sz w:val="20"/>
          <w:szCs w:val="20"/>
        </w:rPr>
        <w:t>. Domestic governance therefore becomes a central mechanism for reconciling global coordination with the preservation of national sovereignty.</w:t>
      </w:r>
    </w:p>
    <w:p w14:paraId="5106F707" w14:textId="5F14D087" w:rsidR="003C2C4C" w:rsidRPr="003C2C4C" w:rsidRDefault="003C2C4C" w:rsidP="00A71B2B">
      <w:pPr>
        <w:spacing w:line="240" w:lineRule="auto"/>
        <w:rPr>
          <w:rFonts w:ascii="Times New Roman" w:eastAsia="Times New Roman" w:hAnsi="Times New Roman" w:cs="Times New Roman"/>
          <w:sz w:val="20"/>
          <w:szCs w:val="20"/>
        </w:rPr>
      </w:pPr>
      <w:r w:rsidRPr="003C2C4C">
        <w:rPr>
          <w:rFonts w:ascii="Times New Roman" w:eastAsia="Times New Roman" w:hAnsi="Times New Roman" w:cs="Times New Roman"/>
          <w:sz w:val="20"/>
          <w:szCs w:val="20"/>
        </w:rPr>
        <w:t>Domestic policy mechanisms also provide the authority to enforce safety standards, establish liability pathways, and address national security concerns</w:t>
      </w:r>
      <w:r w:rsidR="00882677">
        <w:rPr>
          <w:rFonts w:ascii="Times New Roman" w:eastAsia="Times New Roman" w:hAnsi="Times New Roman" w:cs="Times New Roman"/>
          <w:sz w:val="20"/>
          <w:szCs w:val="20"/>
        </w:rPr>
        <w:t>,</w:t>
      </w:r>
      <w:r w:rsidRPr="003C2C4C">
        <w:rPr>
          <w:rFonts w:ascii="Times New Roman" w:eastAsia="Times New Roman" w:hAnsi="Times New Roman" w:cs="Times New Roman"/>
          <w:sz w:val="20"/>
          <w:szCs w:val="20"/>
        </w:rPr>
        <w:t xml:space="preserve"> such as cybersecurity, critical infrastructure protection, and control of energy transmission systems. In addition, they shape investment conditions by providing regulatory certainty, incentives, </w:t>
      </w:r>
      <w:r w:rsidRPr="003C2C4C">
        <w:rPr>
          <w:rFonts w:ascii="Times New Roman" w:eastAsia="Times New Roman" w:hAnsi="Times New Roman" w:cs="Times New Roman"/>
          <w:sz w:val="20"/>
          <w:szCs w:val="20"/>
        </w:rPr>
        <w:lastRenderedPageBreak/>
        <w:t>and risk management frameworks necessary to attract private capital. Fragmented, outdated, or inconsistent domestic regulations represent a significant barrier to SBSP feasibility, underscoring the need for regulatory modernization tailored to orbital energy systems.</w:t>
      </w:r>
    </w:p>
    <w:p w14:paraId="0D47B1C8" w14:textId="4ACD6E09" w:rsidR="003C2C4C" w:rsidRDefault="003C2C4C" w:rsidP="00A71B2B">
      <w:pPr>
        <w:spacing w:line="240" w:lineRule="auto"/>
        <w:rPr>
          <w:rFonts w:ascii="Times New Roman" w:eastAsia="Times New Roman" w:hAnsi="Times New Roman" w:cs="Times New Roman"/>
          <w:sz w:val="20"/>
          <w:szCs w:val="20"/>
        </w:rPr>
      </w:pPr>
      <w:r w:rsidRPr="003C2C4C">
        <w:rPr>
          <w:rFonts w:ascii="Times New Roman" w:eastAsia="Times New Roman" w:hAnsi="Times New Roman" w:cs="Times New Roman"/>
          <w:sz w:val="20"/>
          <w:szCs w:val="20"/>
        </w:rPr>
        <w:t>In sum, domestic policy mechanisms serve as the essential bridge between international SBSP norms and practical implementation. By embedding global governance principles into national law and regulatory practice, they enable legally enforceable, socially legitimate, and operationally viable SBSP deployment.</w:t>
      </w:r>
      <w:r w:rsidR="00EC6ADD">
        <w:rPr>
          <w:rFonts w:ascii="Times New Roman" w:eastAsia="Times New Roman" w:hAnsi="Times New Roman" w:cs="Times New Roman"/>
          <w:sz w:val="20"/>
          <w:szCs w:val="20"/>
        </w:rPr>
        <w:t xml:space="preserve"> In the following, domestic policy mechanisms are explored in the context of the United States. </w:t>
      </w:r>
    </w:p>
    <w:p w14:paraId="6B06815F" w14:textId="24DEAAB5" w:rsidR="0F09D31E" w:rsidRDefault="0F09D31E" w:rsidP="00A71B2B">
      <w:pPr>
        <w:spacing w:line="240" w:lineRule="auto"/>
        <w:rPr>
          <w:rFonts w:ascii="Times New Roman" w:eastAsia="Times New Roman" w:hAnsi="Times New Roman" w:cs="Times New Roman"/>
          <w:b/>
          <w:bCs/>
          <w:sz w:val="20"/>
          <w:szCs w:val="20"/>
        </w:rPr>
      </w:pPr>
      <w:r w:rsidRPr="6A144131">
        <w:rPr>
          <w:rFonts w:ascii="Times New Roman" w:eastAsia="Times New Roman" w:hAnsi="Times New Roman" w:cs="Times New Roman"/>
          <w:b/>
          <w:bCs/>
          <w:sz w:val="20"/>
          <w:szCs w:val="20"/>
        </w:rPr>
        <w:t>3.2.3.1 Administrative Policy Mechanisms</w:t>
      </w:r>
    </w:p>
    <w:p w14:paraId="0F2D3E24" w14:textId="52A1E443" w:rsidR="00D12FB5" w:rsidRPr="00D12FB5" w:rsidRDefault="00D12FB5" w:rsidP="00A71B2B">
      <w:pPr>
        <w:spacing w:line="240" w:lineRule="auto"/>
        <w:rPr>
          <w:rFonts w:ascii="Times New Roman" w:eastAsia="Times New Roman" w:hAnsi="Times New Roman" w:cs="Times New Roman"/>
          <w:sz w:val="20"/>
          <w:szCs w:val="20"/>
        </w:rPr>
      </w:pPr>
      <w:r w:rsidRPr="00D12FB5">
        <w:rPr>
          <w:rFonts w:ascii="Times New Roman" w:eastAsia="Times New Roman" w:hAnsi="Times New Roman" w:cs="Times New Roman"/>
          <w:sz w:val="20"/>
          <w:szCs w:val="20"/>
        </w:rPr>
        <w:t>Administrative policy mechanisms constitute the institutional and regulatory backbone through which SBSP activities are authorized, monitored, and integrated into national systems. These mechanisms define jurisdictional authority, interagency coordination, and procedural requirements, thereby aligning SBSP deployment with domestic priorities while ensuring compliance with international commitments.</w:t>
      </w:r>
    </w:p>
    <w:p w14:paraId="35FA8374" w14:textId="77777777" w:rsidR="00D12FB5" w:rsidRPr="00D12FB5" w:rsidRDefault="00D12FB5" w:rsidP="00A71B2B">
      <w:pPr>
        <w:spacing w:line="240" w:lineRule="auto"/>
        <w:rPr>
          <w:rFonts w:ascii="Times New Roman" w:eastAsia="Times New Roman" w:hAnsi="Times New Roman" w:cs="Times New Roman"/>
          <w:b/>
          <w:bCs/>
          <w:sz w:val="20"/>
          <w:szCs w:val="20"/>
        </w:rPr>
      </w:pPr>
      <w:r w:rsidRPr="00D12FB5">
        <w:rPr>
          <w:rFonts w:ascii="Times New Roman" w:eastAsia="Times New Roman" w:hAnsi="Times New Roman" w:cs="Times New Roman"/>
          <w:b/>
          <w:bCs/>
          <w:sz w:val="20"/>
          <w:szCs w:val="20"/>
        </w:rPr>
        <w:t>Existing Domestic Administrative Frameworks</w:t>
      </w:r>
    </w:p>
    <w:p w14:paraId="02B99FF9" w14:textId="7CCD406B" w:rsidR="00D12FB5" w:rsidRPr="00D12FB5" w:rsidRDefault="00D12FB5" w:rsidP="00A71B2B">
      <w:pPr>
        <w:spacing w:line="240" w:lineRule="auto"/>
        <w:rPr>
          <w:rFonts w:ascii="Times New Roman" w:eastAsia="Times New Roman" w:hAnsi="Times New Roman" w:cs="Times New Roman"/>
          <w:sz w:val="20"/>
          <w:szCs w:val="20"/>
        </w:rPr>
      </w:pPr>
      <w:r w:rsidRPr="00D12FB5">
        <w:rPr>
          <w:rFonts w:ascii="Times New Roman" w:eastAsia="Times New Roman" w:hAnsi="Times New Roman" w:cs="Times New Roman"/>
          <w:sz w:val="20"/>
          <w:szCs w:val="20"/>
        </w:rPr>
        <w:t>In the United States, the statutory foundation for civil and commercial space activities originates with the National Aeronautics and Space Act of 1958,</w:t>
      </w:r>
      <w:r w:rsidR="000D7F68">
        <w:rPr>
          <w:rStyle w:val="FootnoteReference"/>
          <w:rFonts w:ascii="Times New Roman" w:eastAsia="Times New Roman" w:hAnsi="Times New Roman" w:cs="Times New Roman"/>
          <w:sz w:val="20"/>
          <w:szCs w:val="20"/>
        </w:rPr>
        <w:footnoteReference w:id="6"/>
      </w:r>
      <w:r w:rsidRPr="00D12FB5">
        <w:rPr>
          <w:rFonts w:ascii="Times New Roman" w:eastAsia="Times New Roman" w:hAnsi="Times New Roman" w:cs="Times New Roman"/>
          <w:sz w:val="20"/>
          <w:szCs w:val="20"/>
        </w:rPr>
        <w:t xml:space="preserve"> which established NASA and framed space as a domain of national interest. This framework was expanded by the Commercial Space Launch Competitiveness Act of 2015,</w:t>
      </w:r>
      <w:r w:rsidR="000D7F68">
        <w:rPr>
          <w:rStyle w:val="FootnoteReference"/>
          <w:rFonts w:ascii="Times New Roman" w:eastAsia="Times New Roman" w:hAnsi="Times New Roman" w:cs="Times New Roman"/>
          <w:sz w:val="20"/>
          <w:szCs w:val="20"/>
        </w:rPr>
        <w:footnoteReference w:id="7"/>
      </w:r>
      <w:r w:rsidRPr="00D12FB5">
        <w:rPr>
          <w:rFonts w:ascii="Times New Roman" w:eastAsia="Times New Roman" w:hAnsi="Times New Roman" w:cs="Times New Roman"/>
          <w:sz w:val="20"/>
          <w:szCs w:val="20"/>
        </w:rPr>
        <w:t xml:space="preserve"> which promotes private-sector participation by streamlining launch licensing and clarifying federal oversight responsibilities. More recent national space policy </w:t>
      </w:r>
      <w:r w:rsidR="0005535E">
        <w:rPr>
          <w:rFonts w:ascii="Times New Roman" w:eastAsia="Times New Roman" w:hAnsi="Times New Roman" w:cs="Times New Roman"/>
          <w:sz w:val="20"/>
          <w:szCs w:val="20"/>
        </w:rPr>
        <w:t>guidance</w:t>
      </w:r>
      <w:r w:rsidRPr="00D12FB5">
        <w:rPr>
          <w:rFonts w:ascii="Times New Roman" w:eastAsia="Times New Roman" w:hAnsi="Times New Roman" w:cs="Times New Roman"/>
          <w:sz w:val="20"/>
          <w:szCs w:val="20"/>
        </w:rPr>
        <w:t xml:space="preserve">, including </w:t>
      </w:r>
      <w:r w:rsidR="00EE7952">
        <w:rPr>
          <w:rFonts w:ascii="Times New Roman" w:eastAsia="Times New Roman" w:hAnsi="Times New Roman" w:cs="Times New Roman"/>
          <w:sz w:val="20"/>
          <w:szCs w:val="20"/>
        </w:rPr>
        <w:t xml:space="preserve">President Trump’s 2025 Executive Order 14369, </w:t>
      </w:r>
      <w:r w:rsidR="00EE7952" w:rsidRPr="00CF73C0">
        <w:rPr>
          <w:rFonts w:ascii="Times New Roman" w:eastAsia="Times New Roman" w:hAnsi="Times New Roman" w:cs="Times New Roman"/>
          <w:i/>
          <w:iCs/>
          <w:sz w:val="20"/>
          <w:szCs w:val="20"/>
        </w:rPr>
        <w:t>Ensuring American Space Superiority</w:t>
      </w:r>
      <w:r w:rsidR="00EE7952">
        <w:rPr>
          <w:rFonts w:ascii="Times New Roman" w:eastAsia="Times New Roman" w:hAnsi="Times New Roman" w:cs="Times New Roman"/>
          <w:sz w:val="20"/>
          <w:szCs w:val="20"/>
        </w:rPr>
        <w:t xml:space="preserve"> (White House, 2025)</w:t>
      </w:r>
      <w:r w:rsidRPr="00D12FB5">
        <w:rPr>
          <w:rFonts w:ascii="Times New Roman" w:eastAsia="Times New Roman" w:hAnsi="Times New Roman" w:cs="Times New Roman"/>
          <w:sz w:val="20"/>
          <w:szCs w:val="20"/>
        </w:rPr>
        <w:t>, reinforce commitments to commercial innovation, safety, and international leadership. Although these instruments do not explicitly address SBSP, they form the legal scaffolding upon which SBSP-specific administrative rules can be developed.</w:t>
      </w:r>
    </w:p>
    <w:p w14:paraId="3756375B" w14:textId="4AC7055F" w:rsidR="00D12FB5" w:rsidRPr="00D12FB5" w:rsidRDefault="00D12FB5" w:rsidP="00A71B2B">
      <w:pPr>
        <w:spacing w:line="240" w:lineRule="auto"/>
        <w:rPr>
          <w:rFonts w:ascii="Times New Roman" w:eastAsia="Times New Roman" w:hAnsi="Times New Roman" w:cs="Times New Roman"/>
          <w:sz w:val="20"/>
          <w:szCs w:val="20"/>
        </w:rPr>
      </w:pPr>
      <w:r w:rsidRPr="00D12FB5">
        <w:rPr>
          <w:rFonts w:ascii="Times New Roman" w:eastAsia="Times New Roman" w:hAnsi="Times New Roman" w:cs="Times New Roman"/>
          <w:sz w:val="20"/>
          <w:szCs w:val="20"/>
        </w:rPr>
        <w:t xml:space="preserve">Operational authority relevant to SBSP is distributed across several federal agencies. NASA’s Office of Technology, Policy, and Strategy (OTPS) conducts technical assessments and anticipatory governance research relevant to SBSP, including modular satellite architectures and wireless power transmission feasibility. The </w:t>
      </w:r>
      <w:r w:rsidR="005E1928">
        <w:rPr>
          <w:rFonts w:ascii="Times New Roman" w:eastAsia="Times New Roman" w:hAnsi="Times New Roman" w:cs="Times New Roman"/>
          <w:sz w:val="20"/>
          <w:szCs w:val="20"/>
        </w:rPr>
        <w:t>FAA</w:t>
      </w:r>
      <w:r w:rsidRPr="00D12FB5">
        <w:rPr>
          <w:rFonts w:ascii="Times New Roman" w:eastAsia="Times New Roman" w:hAnsi="Times New Roman" w:cs="Times New Roman"/>
          <w:sz w:val="20"/>
          <w:szCs w:val="20"/>
        </w:rPr>
        <w:t>’s Office of Commercial Space Transportation (FAA/AST) licenses commercial launches and reentries, a function that is especially critical for SBSP systems requiring repeated deployment of modular space assets. As emphasized in the manuscript, this dispersion of authority creates regulatory fragmentation, making interagency coordination a central administrative challenge.</w:t>
      </w:r>
    </w:p>
    <w:p w14:paraId="0060B3D3" w14:textId="0A4E05B3" w:rsidR="00D12FB5" w:rsidRPr="00D12FB5" w:rsidRDefault="00D12FB5" w:rsidP="00A71B2B">
      <w:pPr>
        <w:spacing w:line="240" w:lineRule="auto"/>
        <w:rPr>
          <w:rFonts w:ascii="Times New Roman" w:eastAsia="Times New Roman" w:hAnsi="Times New Roman" w:cs="Times New Roman"/>
          <w:sz w:val="20"/>
          <w:szCs w:val="20"/>
        </w:rPr>
      </w:pPr>
      <w:r w:rsidRPr="00D12FB5">
        <w:rPr>
          <w:rFonts w:ascii="Times New Roman" w:eastAsia="Times New Roman" w:hAnsi="Times New Roman" w:cs="Times New Roman"/>
          <w:sz w:val="20"/>
          <w:szCs w:val="20"/>
        </w:rPr>
        <w:t>Spectrum governance</w:t>
      </w:r>
      <w:r w:rsidR="00DE18F2">
        <w:rPr>
          <w:rFonts w:ascii="Times New Roman" w:eastAsia="Times New Roman" w:hAnsi="Times New Roman" w:cs="Times New Roman"/>
          <w:sz w:val="20"/>
          <w:szCs w:val="20"/>
        </w:rPr>
        <w:t xml:space="preserve">, </w:t>
      </w:r>
      <w:r w:rsidRPr="00D12FB5">
        <w:rPr>
          <w:rFonts w:ascii="Times New Roman" w:eastAsia="Times New Roman" w:hAnsi="Times New Roman" w:cs="Times New Roman"/>
          <w:sz w:val="20"/>
          <w:szCs w:val="20"/>
        </w:rPr>
        <w:t>central to microwave-based SBSP</w:t>
      </w:r>
      <w:r w:rsidR="00DE18F2">
        <w:rPr>
          <w:rFonts w:ascii="Times New Roman" w:eastAsia="Times New Roman" w:hAnsi="Times New Roman" w:cs="Times New Roman"/>
          <w:sz w:val="20"/>
          <w:szCs w:val="20"/>
        </w:rPr>
        <w:t xml:space="preserve">, </w:t>
      </w:r>
      <w:r w:rsidRPr="00D12FB5">
        <w:rPr>
          <w:rFonts w:ascii="Times New Roman" w:eastAsia="Times New Roman" w:hAnsi="Times New Roman" w:cs="Times New Roman"/>
          <w:sz w:val="20"/>
          <w:szCs w:val="20"/>
        </w:rPr>
        <w:t>is managed domestically by the FCC, which regulates non-federal spectrum use, and the National Telecommunications and Information Administration (NTIA), which oversees spectrum allocated to federal users such as the Department of Defense and NASA. Existing spectrum frameworks were developed for telecommunications rather than gigawatt-scale wireless power transmission, leaving unresolved questions regarding frequency allocation, interference thresholds, and long-term spectrum access for SBSP systems.</w:t>
      </w:r>
    </w:p>
    <w:p w14:paraId="48A803F9" w14:textId="04A0D4F5" w:rsidR="00D12FB5" w:rsidRPr="00D12FB5" w:rsidRDefault="00D12FB5" w:rsidP="00A71B2B">
      <w:pPr>
        <w:spacing w:line="240" w:lineRule="auto"/>
        <w:rPr>
          <w:rFonts w:ascii="Times New Roman" w:eastAsia="Times New Roman" w:hAnsi="Times New Roman" w:cs="Times New Roman"/>
          <w:sz w:val="20"/>
          <w:szCs w:val="20"/>
        </w:rPr>
      </w:pPr>
      <w:r w:rsidRPr="00D12FB5">
        <w:rPr>
          <w:rFonts w:ascii="Times New Roman" w:eastAsia="Times New Roman" w:hAnsi="Times New Roman" w:cs="Times New Roman"/>
          <w:sz w:val="20"/>
          <w:szCs w:val="20"/>
        </w:rPr>
        <w:t>Beyond space and spectrum regulation, SBSP ground infrastructure must comply with federal, state, and local environmental review processes, particularly under the National Environmental Policy Act</w:t>
      </w:r>
      <w:r w:rsidR="005D4979">
        <w:rPr>
          <w:rFonts w:ascii="Times New Roman" w:eastAsia="Times New Roman" w:hAnsi="Times New Roman" w:cs="Times New Roman"/>
          <w:sz w:val="20"/>
          <w:szCs w:val="20"/>
        </w:rPr>
        <w:t xml:space="preserve"> of 1969</w:t>
      </w:r>
      <w:r w:rsidRPr="00D12FB5">
        <w:rPr>
          <w:rFonts w:ascii="Times New Roman" w:eastAsia="Times New Roman" w:hAnsi="Times New Roman" w:cs="Times New Roman"/>
          <w:sz w:val="20"/>
          <w:szCs w:val="20"/>
        </w:rPr>
        <w:t>.</w:t>
      </w:r>
      <w:r w:rsidR="005D4979">
        <w:rPr>
          <w:rStyle w:val="FootnoteReference"/>
          <w:rFonts w:ascii="Times New Roman" w:eastAsia="Times New Roman" w:hAnsi="Times New Roman" w:cs="Times New Roman"/>
          <w:sz w:val="20"/>
          <w:szCs w:val="20"/>
        </w:rPr>
        <w:footnoteReference w:id="8"/>
      </w:r>
      <w:r w:rsidRPr="00D12FB5">
        <w:rPr>
          <w:rFonts w:ascii="Times New Roman" w:eastAsia="Times New Roman" w:hAnsi="Times New Roman" w:cs="Times New Roman"/>
          <w:sz w:val="20"/>
          <w:szCs w:val="20"/>
        </w:rPr>
        <w:t xml:space="preserve"> State and local governments also retain authority over planning and zoning decisions that determine where rectennas and associated facilities may be sited. These procedures play a critical role in environmental protection, public transparency, and community acceptance, reinforcing institutional legitimacy at the local level.</w:t>
      </w:r>
    </w:p>
    <w:p w14:paraId="433E604E" w14:textId="48160056" w:rsidR="00D12FB5" w:rsidRPr="00D12FB5" w:rsidRDefault="00D12FB5" w:rsidP="00A71B2B">
      <w:pPr>
        <w:spacing w:line="240" w:lineRule="auto"/>
        <w:rPr>
          <w:rFonts w:ascii="Times New Roman" w:eastAsia="Times New Roman" w:hAnsi="Times New Roman" w:cs="Times New Roman"/>
          <w:sz w:val="20"/>
          <w:szCs w:val="20"/>
        </w:rPr>
      </w:pPr>
      <w:r w:rsidRPr="00D12FB5">
        <w:rPr>
          <w:rFonts w:ascii="Times New Roman" w:eastAsia="Times New Roman" w:hAnsi="Times New Roman" w:cs="Times New Roman"/>
          <w:sz w:val="20"/>
          <w:szCs w:val="20"/>
        </w:rPr>
        <w:t>Integration of SBSP-generated electricity into the national grid is influenced by existing technical standards such as IEEE 1547</w:t>
      </w:r>
      <w:r w:rsidR="00CF73C0">
        <w:rPr>
          <w:rFonts w:ascii="Times New Roman" w:eastAsia="Times New Roman" w:hAnsi="Times New Roman" w:cs="Times New Roman"/>
          <w:sz w:val="20"/>
          <w:szCs w:val="20"/>
        </w:rPr>
        <w:t xml:space="preserve"> (IEEE 2018)</w:t>
      </w:r>
      <w:r w:rsidRPr="00D12FB5">
        <w:rPr>
          <w:rFonts w:ascii="Times New Roman" w:eastAsia="Times New Roman" w:hAnsi="Times New Roman" w:cs="Times New Roman"/>
          <w:sz w:val="20"/>
          <w:szCs w:val="20"/>
        </w:rPr>
        <w:t>, which governs the interconnection of distributed energy resources. Although developed for terrestrial renewables, these standards provide an institutional foundation for incorporating SBSP into domestic energy systems, consistent with the manuscript’s emphasis on adapting existing frameworks rather than creating entirely new regulatory regimes.</w:t>
      </w:r>
    </w:p>
    <w:p w14:paraId="10A94E25" w14:textId="77777777" w:rsidR="00D12FB5" w:rsidRPr="00D12FB5" w:rsidRDefault="00D12FB5" w:rsidP="00A71B2B">
      <w:pPr>
        <w:spacing w:line="240" w:lineRule="auto"/>
        <w:rPr>
          <w:rFonts w:ascii="Times New Roman" w:eastAsia="Times New Roman" w:hAnsi="Times New Roman" w:cs="Times New Roman"/>
          <w:b/>
          <w:bCs/>
          <w:sz w:val="20"/>
          <w:szCs w:val="20"/>
        </w:rPr>
      </w:pPr>
      <w:r w:rsidRPr="00D12FB5">
        <w:rPr>
          <w:rFonts w:ascii="Times New Roman" w:eastAsia="Times New Roman" w:hAnsi="Times New Roman" w:cs="Times New Roman"/>
          <w:b/>
          <w:bCs/>
          <w:sz w:val="20"/>
          <w:szCs w:val="20"/>
        </w:rPr>
        <w:lastRenderedPageBreak/>
        <w:t>Prospective Administrative Mechanisms and Regulatory Gaps</w:t>
      </w:r>
    </w:p>
    <w:p w14:paraId="6A2FDC8F" w14:textId="77777777" w:rsidR="00D12FB5" w:rsidRPr="00D12FB5" w:rsidRDefault="00D12FB5" w:rsidP="00A71B2B">
      <w:pPr>
        <w:spacing w:line="240" w:lineRule="auto"/>
        <w:rPr>
          <w:rFonts w:ascii="Times New Roman" w:eastAsia="Times New Roman" w:hAnsi="Times New Roman" w:cs="Times New Roman"/>
          <w:sz w:val="20"/>
          <w:szCs w:val="20"/>
        </w:rPr>
      </w:pPr>
      <w:r w:rsidRPr="00D12FB5">
        <w:rPr>
          <w:rFonts w:ascii="Times New Roman" w:eastAsia="Times New Roman" w:hAnsi="Times New Roman" w:cs="Times New Roman"/>
          <w:sz w:val="20"/>
          <w:szCs w:val="20"/>
        </w:rPr>
        <w:t>Despite this substantial foundation, current U.S. administrative frameworks do not comprehensively address SBSP’s distinctive characteristics, including continuous space-based energy transmission, large-scale orbital infrastructure, and dual-use security risks. Regulatory gaps are particularly evident in spectrum allocation for high-power energy beaming, safety standards for wireless power transmission, and licensing regimes for ground-based rectennas.</w:t>
      </w:r>
    </w:p>
    <w:p w14:paraId="6B3623DB" w14:textId="77777777" w:rsidR="00D12FB5" w:rsidRPr="00D12FB5" w:rsidRDefault="00D12FB5" w:rsidP="00A71B2B">
      <w:pPr>
        <w:spacing w:line="240" w:lineRule="auto"/>
        <w:rPr>
          <w:rFonts w:ascii="Times New Roman" w:eastAsia="Times New Roman" w:hAnsi="Times New Roman" w:cs="Times New Roman"/>
          <w:sz w:val="20"/>
          <w:szCs w:val="20"/>
        </w:rPr>
      </w:pPr>
      <w:r w:rsidRPr="00D12FB5">
        <w:rPr>
          <w:rFonts w:ascii="Times New Roman" w:eastAsia="Times New Roman" w:hAnsi="Times New Roman" w:cs="Times New Roman"/>
          <w:sz w:val="20"/>
          <w:szCs w:val="20"/>
        </w:rPr>
        <w:t>Effective SBSP governance therefore requires formalized interagency coordination among space, energy, communications, environmental, and security authorities, including NASA, the Department of Energy (DOE), FCC, NTIA, and FAA. Coordinated administrative frameworks can reduce jurisdictional fragmentation, improve regulatory clarity, and support coherent national strategies (Verbruggen, 2011).</w:t>
      </w:r>
    </w:p>
    <w:p w14:paraId="082809DE" w14:textId="77777777" w:rsidR="00D12FB5" w:rsidRPr="00D12FB5" w:rsidRDefault="00D12FB5" w:rsidP="00A71B2B">
      <w:pPr>
        <w:spacing w:line="240" w:lineRule="auto"/>
        <w:rPr>
          <w:rFonts w:ascii="Times New Roman" w:eastAsia="Times New Roman" w:hAnsi="Times New Roman" w:cs="Times New Roman"/>
          <w:sz w:val="20"/>
          <w:szCs w:val="20"/>
        </w:rPr>
      </w:pPr>
      <w:r w:rsidRPr="00D12FB5">
        <w:rPr>
          <w:rFonts w:ascii="Times New Roman" w:eastAsia="Times New Roman" w:hAnsi="Times New Roman" w:cs="Times New Roman"/>
          <w:sz w:val="20"/>
          <w:szCs w:val="20"/>
        </w:rPr>
        <w:t>Administrative mechanisms must also address national security concerns. SBSP technologies possess potential military and dual-use applications, raising issues related to weaponization, export controls, cybersecurity, and critical infrastructure protection. Establishing clear administrative oversight and risk-assessment procedures is essential to prevent misuse while preserving civilian and commercial innovation (Dolman, 2002).</w:t>
      </w:r>
    </w:p>
    <w:p w14:paraId="7D9144CC" w14:textId="2576B64F" w:rsidR="00D12FB5" w:rsidRPr="00D12FB5" w:rsidRDefault="00D12FB5" w:rsidP="00A71B2B">
      <w:pPr>
        <w:spacing w:line="240" w:lineRule="auto"/>
        <w:rPr>
          <w:rFonts w:ascii="Times New Roman" w:eastAsia="Times New Roman" w:hAnsi="Times New Roman" w:cs="Times New Roman"/>
          <w:sz w:val="20"/>
          <w:szCs w:val="20"/>
        </w:rPr>
      </w:pPr>
      <w:r w:rsidRPr="00D12FB5">
        <w:rPr>
          <w:rFonts w:ascii="Times New Roman" w:eastAsia="Times New Roman" w:hAnsi="Times New Roman" w:cs="Times New Roman"/>
          <w:sz w:val="20"/>
          <w:szCs w:val="20"/>
        </w:rPr>
        <w:t>By strengthening coordination, clarifying jurisdiction, and filling regulatory gaps, domestic administrative governance can provide the legitimacy, enforceability, and stability required for SBSP to evolve from experimental demonstrations to a viable component of national energy and space policy (</w:t>
      </w:r>
      <w:r w:rsidR="008460C1">
        <w:rPr>
          <w:rFonts w:ascii="Times New Roman" w:eastAsia="Times New Roman" w:hAnsi="Times New Roman" w:cs="Times New Roman"/>
          <w:sz w:val="20"/>
          <w:szCs w:val="20"/>
        </w:rPr>
        <w:t>Mazzucato 2013; Jakhu &amp; Pelton 2017</w:t>
      </w:r>
      <w:r w:rsidRPr="00D12FB5">
        <w:rPr>
          <w:rFonts w:ascii="Times New Roman" w:eastAsia="Times New Roman" w:hAnsi="Times New Roman" w:cs="Times New Roman"/>
          <w:sz w:val="20"/>
          <w:szCs w:val="20"/>
        </w:rPr>
        <w:t>).</w:t>
      </w:r>
    </w:p>
    <w:p w14:paraId="23C31016" w14:textId="4F33A510" w:rsidR="0F09D31E" w:rsidRDefault="0F09D31E" w:rsidP="00A71B2B">
      <w:pPr>
        <w:spacing w:line="240" w:lineRule="auto"/>
        <w:rPr>
          <w:rFonts w:ascii="Times New Roman" w:eastAsia="Times New Roman" w:hAnsi="Times New Roman" w:cs="Times New Roman"/>
          <w:b/>
          <w:bCs/>
          <w:sz w:val="20"/>
          <w:szCs w:val="20"/>
        </w:rPr>
      </w:pPr>
      <w:r w:rsidRPr="09617BC6">
        <w:rPr>
          <w:rFonts w:ascii="Times New Roman" w:eastAsia="Times New Roman" w:hAnsi="Times New Roman" w:cs="Times New Roman"/>
          <w:b/>
          <w:bCs/>
          <w:sz w:val="20"/>
          <w:szCs w:val="20"/>
        </w:rPr>
        <w:t>3.2.3.2 Incentive Policy Mechanisms</w:t>
      </w:r>
    </w:p>
    <w:p w14:paraId="179D3591" w14:textId="6A2EBD7D" w:rsidR="002742D6" w:rsidRDefault="009E0E4A" w:rsidP="00A71B2B">
      <w:pPr>
        <w:spacing w:line="240" w:lineRule="auto"/>
        <w:rPr>
          <w:rFonts w:ascii="Times New Roman" w:eastAsia="Times New Roman" w:hAnsi="Times New Roman" w:cs="Times New Roman"/>
          <w:sz w:val="20"/>
          <w:szCs w:val="20"/>
        </w:rPr>
      </w:pPr>
      <w:r w:rsidRPr="009E0E4A">
        <w:rPr>
          <w:rFonts w:ascii="Times New Roman" w:eastAsia="Times New Roman" w:hAnsi="Times New Roman" w:cs="Times New Roman"/>
          <w:sz w:val="20"/>
          <w:szCs w:val="20"/>
        </w:rPr>
        <w:t xml:space="preserve">Incentive policy mechanisms mobilize private investment, accelerate technological innovation, and align commercial incentives with public energy and climate objectives. Well-designed incentives </w:t>
      </w:r>
      <w:r w:rsidR="003C6CC1">
        <w:rPr>
          <w:rFonts w:ascii="Times New Roman" w:eastAsia="Times New Roman" w:hAnsi="Times New Roman" w:cs="Times New Roman"/>
          <w:sz w:val="20"/>
          <w:szCs w:val="20"/>
        </w:rPr>
        <w:t>can</w:t>
      </w:r>
      <w:r w:rsidRPr="009E0E4A">
        <w:rPr>
          <w:rFonts w:ascii="Times New Roman" w:eastAsia="Times New Roman" w:hAnsi="Times New Roman" w:cs="Times New Roman"/>
          <w:sz w:val="20"/>
          <w:szCs w:val="20"/>
        </w:rPr>
        <w:t xml:space="preserve"> reduce early-stage investment risk while preserving fair competition and preventing market concentration.</w:t>
      </w:r>
      <w:r w:rsidR="00A0784E">
        <w:rPr>
          <w:rFonts w:ascii="Times New Roman" w:eastAsia="Times New Roman" w:hAnsi="Times New Roman" w:cs="Times New Roman"/>
          <w:sz w:val="20"/>
          <w:szCs w:val="20"/>
        </w:rPr>
        <w:t xml:space="preserve"> </w:t>
      </w:r>
      <w:r w:rsidRPr="009E0E4A">
        <w:rPr>
          <w:rFonts w:ascii="Times New Roman" w:eastAsia="Times New Roman" w:hAnsi="Times New Roman" w:cs="Times New Roman"/>
          <w:sz w:val="20"/>
          <w:szCs w:val="20"/>
        </w:rPr>
        <w:t xml:space="preserve">Governments can achieve this balance through a calibrated mix of fiscal, financial, and procurement instruments that lower capital costs, stabilize revenue expectations, and reward performance rather than incumbency. </w:t>
      </w:r>
    </w:p>
    <w:p w14:paraId="122F1C68" w14:textId="2514D488" w:rsidR="0F09D31E" w:rsidRDefault="0F09D31E" w:rsidP="00A71B2B">
      <w:pPr>
        <w:spacing w:line="240" w:lineRule="auto"/>
        <w:rPr>
          <w:rFonts w:ascii="Times New Roman" w:eastAsia="Times New Roman" w:hAnsi="Times New Roman" w:cs="Times New Roman"/>
          <w:b/>
          <w:bCs/>
          <w:sz w:val="20"/>
          <w:szCs w:val="20"/>
        </w:rPr>
      </w:pPr>
      <w:r w:rsidRPr="09617BC6">
        <w:rPr>
          <w:rFonts w:ascii="Times New Roman" w:eastAsia="Times New Roman" w:hAnsi="Times New Roman" w:cs="Times New Roman"/>
          <w:b/>
          <w:bCs/>
          <w:sz w:val="20"/>
          <w:szCs w:val="20"/>
        </w:rPr>
        <w:t>3.2.3.3 Price Mechanisms</w:t>
      </w:r>
    </w:p>
    <w:p w14:paraId="7A7A2605" w14:textId="086603D9" w:rsidR="00BC0C9D" w:rsidRPr="00BC0C9D" w:rsidRDefault="00BC0C9D" w:rsidP="00A71B2B">
      <w:pPr>
        <w:spacing w:line="240" w:lineRule="auto"/>
        <w:rPr>
          <w:rFonts w:ascii="Times New Roman" w:eastAsia="Times New Roman" w:hAnsi="Times New Roman" w:cs="Times New Roman"/>
          <w:sz w:val="20"/>
          <w:szCs w:val="20"/>
        </w:rPr>
      </w:pPr>
      <w:r w:rsidRPr="00BC0C9D">
        <w:rPr>
          <w:rFonts w:ascii="Times New Roman" w:eastAsia="Times New Roman" w:hAnsi="Times New Roman" w:cs="Times New Roman"/>
          <w:sz w:val="20"/>
          <w:szCs w:val="20"/>
        </w:rPr>
        <w:t>Price-based policy mechanisms use economic signals to internalize externalities, reward innovation, and stabilize revenue streams. For SBSP, these instruments are essential for aligning private investment incentives with broader social, environmental, and strategic benefits. Given SBSP’s high upfront capital costs and long development timelines, price mechanisms play a central role in reducing risk and accelerating early market formation.</w:t>
      </w:r>
    </w:p>
    <w:p w14:paraId="2BA785CF" w14:textId="77777777" w:rsidR="00BC0C9D" w:rsidRPr="00BC0C9D" w:rsidRDefault="00BC0C9D" w:rsidP="00A71B2B">
      <w:pPr>
        <w:spacing w:line="240" w:lineRule="auto"/>
        <w:rPr>
          <w:rFonts w:ascii="Times New Roman" w:eastAsia="Times New Roman" w:hAnsi="Times New Roman" w:cs="Times New Roman"/>
          <w:b/>
          <w:bCs/>
          <w:sz w:val="20"/>
          <w:szCs w:val="20"/>
        </w:rPr>
      </w:pPr>
      <w:r w:rsidRPr="00BC0C9D">
        <w:rPr>
          <w:rFonts w:ascii="Times New Roman" w:eastAsia="Times New Roman" w:hAnsi="Times New Roman" w:cs="Times New Roman"/>
          <w:b/>
          <w:bCs/>
          <w:sz w:val="20"/>
          <w:szCs w:val="20"/>
        </w:rPr>
        <w:t>Existing Price Mechanisms Relevant to SBSP</w:t>
      </w:r>
    </w:p>
    <w:p w14:paraId="177BE19F" w14:textId="77777777" w:rsidR="009E0E4A" w:rsidRPr="009E0E4A" w:rsidRDefault="00BC0C9D" w:rsidP="00A71B2B">
      <w:pPr>
        <w:spacing w:line="240" w:lineRule="auto"/>
        <w:rPr>
          <w:rFonts w:ascii="Times New Roman" w:eastAsia="Times New Roman" w:hAnsi="Times New Roman" w:cs="Times New Roman"/>
          <w:sz w:val="20"/>
          <w:szCs w:val="20"/>
        </w:rPr>
      </w:pPr>
      <w:r w:rsidRPr="009E0E4A">
        <w:rPr>
          <w:rFonts w:ascii="Times New Roman" w:eastAsia="Times New Roman" w:hAnsi="Times New Roman" w:cs="Times New Roman"/>
          <w:sz w:val="20"/>
          <w:szCs w:val="20"/>
        </w:rPr>
        <w:t>Several existing price-based instruments in the energy and space sectors provide a foundation for SBSP deployment</w:t>
      </w:r>
      <w:r w:rsidR="009E0E4A" w:rsidRPr="009E0E4A">
        <w:rPr>
          <w:rFonts w:ascii="Times New Roman" w:eastAsia="Times New Roman" w:hAnsi="Times New Roman" w:cs="Times New Roman"/>
          <w:sz w:val="20"/>
          <w:szCs w:val="20"/>
        </w:rPr>
        <w:t xml:space="preserve">: </w:t>
      </w:r>
      <w:r w:rsidRPr="009E0E4A">
        <w:rPr>
          <w:rFonts w:ascii="Times New Roman" w:eastAsia="Times New Roman" w:hAnsi="Times New Roman" w:cs="Times New Roman"/>
          <w:sz w:val="20"/>
          <w:szCs w:val="20"/>
        </w:rPr>
        <w:t xml:space="preserve"> </w:t>
      </w:r>
    </w:p>
    <w:p w14:paraId="1B842948" w14:textId="609CE56C" w:rsidR="00FF6A7F" w:rsidRPr="00FF6A7F" w:rsidRDefault="00BC0C9D" w:rsidP="00A71B2B">
      <w:pPr>
        <w:spacing w:line="240" w:lineRule="auto"/>
        <w:rPr>
          <w:rFonts w:ascii="Times New Roman" w:eastAsia="Times New Roman" w:hAnsi="Times New Roman" w:cs="Times New Roman"/>
          <w:sz w:val="20"/>
          <w:szCs w:val="20"/>
        </w:rPr>
      </w:pPr>
      <w:r w:rsidRPr="00FF6A7F">
        <w:rPr>
          <w:rFonts w:ascii="Times New Roman" w:eastAsia="Times New Roman" w:hAnsi="Times New Roman" w:cs="Times New Roman"/>
          <w:sz w:val="20"/>
          <w:szCs w:val="20"/>
        </w:rPr>
        <w:t xml:space="preserve">Fiscal </w:t>
      </w:r>
      <w:r w:rsidR="00FF6A7F" w:rsidRPr="00FF6A7F">
        <w:rPr>
          <w:rFonts w:ascii="Times New Roman" w:eastAsia="Times New Roman" w:hAnsi="Times New Roman" w:cs="Times New Roman"/>
          <w:sz w:val="20"/>
          <w:szCs w:val="20"/>
        </w:rPr>
        <w:t xml:space="preserve">incentives, </w:t>
      </w:r>
      <w:r w:rsidRPr="00FF6A7F">
        <w:rPr>
          <w:rFonts w:ascii="Times New Roman" w:eastAsia="Times New Roman" w:hAnsi="Times New Roman" w:cs="Times New Roman"/>
          <w:sz w:val="20"/>
          <w:szCs w:val="20"/>
        </w:rPr>
        <w:t>including investment tax credits, accelerated depreciation schedules, and targeted tax exemptions</w:t>
      </w:r>
      <w:r w:rsidR="00FF6A7F" w:rsidRPr="00FF6A7F">
        <w:rPr>
          <w:rFonts w:ascii="Times New Roman" w:eastAsia="Times New Roman" w:hAnsi="Times New Roman" w:cs="Times New Roman"/>
          <w:sz w:val="20"/>
          <w:szCs w:val="20"/>
        </w:rPr>
        <w:t xml:space="preserve">, </w:t>
      </w:r>
      <w:r w:rsidRPr="00FF6A7F">
        <w:rPr>
          <w:rFonts w:ascii="Times New Roman" w:eastAsia="Times New Roman" w:hAnsi="Times New Roman" w:cs="Times New Roman"/>
          <w:sz w:val="20"/>
          <w:szCs w:val="20"/>
        </w:rPr>
        <w:t>can significantly lower the upfront cost of SBSP systems. These tools mirror successful clean-energy incentive models used for terrestrial renewables and have proven effective in stimulating early-stage market entry (Goldthau &amp; Sovacool, 2012).</w:t>
      </w:r>
    </w:p>
    <w:p w14:paraId="36BFCA6F" w14:textId="5C9763D3" w:rsidR="00FF6A7F" w:rsidRPr="00FF6A7F" w:rsidRDefault="00BC0C9D" w:rsidP="00A71B2B">
      <w:pPr>
        <w:spacing w:line="240" w:lineRule="auto"/>
        <w:rPr>
          <w:rFonts w:ascii="Times New Roman" w:eastAsia="Times New Roman" w:hAnsi="Times New Roman" w:cs="Times New Roman"/>
          <w:sz w:val="20"/>
          <w:szCs w:val="20"/>
        </w:rPr>
      </w:pPr>
      <w:r w:rsidRPr="00FF6A7F">
        <w:rPr>
          <w:rFonts w:ascii="Times New Roman" w:eastAsia="Times New Roman" w:hAnsi="Times New Roman" w:cs="Times New Roman"/>
          <w:sz w:val="20"/>
          <w:szCs w:val="20"/>
        </w:rPr>
        <w:t>Financial incentives further reduce capital constraints. Governments can deploy low-interest green loans, concessional financing, and public–private partnerships through national development banks. In the United States, defense and civil procurement programs</w:t>
      </w:r>
      <w:r w:rsidR="005839C5">
        <w:rPr>
          <w:rFonts w:ascii="Times New Roman" w:eastAsia="Times New Roman" w:hAnsi="Times New Roman" w:cs="Times New Roman"/>
          <w:sz w:val="20"/>
          <w:szCs w:val="20"/>
        </w:rPr>
        <w:t xml:space="preserve">, </w:t>
      </w:r>
      <w:r w:rsidRPr="00FF6A7F">
        <w:rPr>
          <w:rFonts w:ascii="Times New Roman" w:eastAsia="Times New Roman" w:hAnsi="Times New Roman" w:cs="Times New Roman"/>
          <w:sz w:val="20"/>
          <w:szCs w:val="20"/>
        </w:rPr>
        <w:t>such as Department of Defense contracts and NASA’s Commercial Orbital Transportation Services (COTS) program</w:t>
      </w:r>
      <w:r w:rsidR="005839C5">
        <w:rPr>
          <w:rFonts w:ascii="Times New Roman" w:eastAsia="Times New Roman" w:hAnsi="Times New Roman" w:cs="Times New Roman"/>
          <w:sz w:val="20"/>
          <w:szCs w:val="20"/>
        </w:rPr>
        <w:t xml:space="preserve">, </w:t>
      </w:r>
      <w:r w:rsidRPr="00FF6A7F">
        <w:rPr>
          <w:rFonts w:ascii="Times New Roman" w:eastAsia="Times New Roman" w:hAnsi="Times New Roman" w:cs="Times New Roman"/>
          <w:sz w:val="20"/>
          <w:szCs w:val="20"/>
        </w:rPr>
        <w:t>demonstrate how long-term government demand can anchor private investment in high-risk space technologies.</w:t>
      </w:r>
    </w:p>
    <w:p w14:paraId="3C8306B0" w14:textId="09F913E6" w:rsidR="00BC0C9D" w:rsidRPr="00FF6A7F" w:rsidRDefault="00BC0C9D" w:rsidP="00A71B2B">
      <w:pPr>
        <w:spacing w:line="240" w:lineRule="auto"/>
        <w:rPr>
          <w:rFonts w:ascii="Times New Roman" w:eastAsia="Times New Roman" w:hAnsi="Times New Roman" w:cs="Times New Roman"/>
          <w:sz w:val="20"/>
          <w:szCs w:val="20"/>
        </w:rPr>
      </w:pPr>
      <w:r w:rsidRPr="00FF6A7F">
        <w:rPr>
          <w:rFonts w:ascii="Times New Roman" w:eastAsia="Times New Roman" w:hAnsi="Times New Roman" w:cs="Times New Roman"/>
          <w:sz w:val="20"/>
          <w:szCs w:val="20"/>
        </w:rPr>
        <w:t>Public procurement mechanisms are particularly important for SBSP. Long-term power purchase agreements (PPAs), in which governments act as early customers, can provide predictable revenue streams that improve project bankability and signal durable policy commitment. Research and development support programs</w:t>
      </w:r>
      <w:r w:rsidR="008460C1">
        <w:rPr>
          <w:rFonts w:ascii="Times New Roman" w:eastAsia="Times New Roman" w:hAnsi="Times New Roman" w:cs="Times New Roman"/>
          <w:sz w:val="20"/>
          <w:szCs w:val="20"/>
        </w:rPr>
        <w:t xml:space="preserve">, </w:t>
      </w:r>
      <w:r w:rsidRPr="00FF6A7F">
        <w:rPr>
          <w:rFonts w:ascii="Times New Roman" w:eastAsia="Times New Roman" w:hAnsi="Times New Roman" w:cs="Times New Roman"/>
          <w:sz w:val="20"/>
          <w:szCs w:val="20"/>
        </w:rPr>
        <w:t>such as NASA’s Small Business Innovation Research (SBIR) and Small Business Technology Transfer (STTR) initiatives</w:t>
      </w:r>
      <w:r w:rsidR="008460C1">
        <w:rPr>
          <w:rFonts w:ascii="Times New Roman" w:eastAsia="Times New Roman" w:hAnsi="Times New Roman" w:cs="Times New Roman"/>
          <w:sz w:val="20"/>
          <w:szCs w:val="20"/>
        </w:rPr>
        <w:t>, f</w:t>
      </w:r>
      <w:r w:rsidRPr="00FF6A7F">
        <w:rPr>
          <w:rFonts w:ascii="Times New Roman" w:eastAsia="Times New Roman" w:hAnsi="Times New Roman" w:cs="Times New Roman"/>
          <w:sz w:val="20"/>
          <w:szCs w:val="20"/>
        </w:rPr>
        <w:t>urther catalyze innovation by reducing technical and financial risk associated with early-stage development (Okereke, 2010).</w:t>
      </w:r>
    </w:p>
    <w:p w14:paraId="02705781" w14:textId="56815C8B" w:rsidR="00BC0C9D" w:rsidRPr="00BC0C9D" w:rsidRDefault="00BC0C9D" w:rsidP="00A71B2B">
      <w:pPr>
        <w:spacing w:line="240" w:lineRule="auto"/>
        <w:rPr>
          <w:rFonts w:ascii="Times New Roman" w:eastAsia="Times New Roman" w:hAnsi="Times New Roman" w:cs="Times New Roman"/>
          <w:sz w:val="20"/>
          <w:szCs w:val="20"/>
        </w:rPr>
      </w:pPr>
      <w:r w:rsidRPr="00BC0C9D">
        <w:rPr>
          <w:rFonts w:ascii="Times New Roman" w:eastAsia="Times New Roman" w:hAnsi="Times New Roman" w:cs="Times New Roman"/>
          <w:sz w:val="20"/>
          <w:szCs w:val="20"/>
        </w:rPr>
        <w:t xml:space="preserve">Together, these instruments operationalize the principles of efficiency and resilience by sharing </w:t>
      </w:r>
      <w:r w:rsidR="00FF6A7F" w:rsidRPr="00BC0C9D">
        <w:rPr>
          <w:rFonts w:ascii="Times New Roman" w:eastAsia="Times New Roman" w:hAnsi="Times New Roman" w:cs="Times New Roman"/>
          <w:sz w:val="20"/>
          <w:szCs w:val="20"/>
        </w:rPr>
        <w:t>risks</w:t>
      </w:r>
      <w:r w:rsidRPr="00BC0C9D">
        <w:rPr>
          <w:rFonts w:ascii="Times New Roman" w:eastAsia="Times New Roman" w:hAnsi="Times New Roman" w:cs="Times New Roman"/>
          <w:sz w:val="20"/>
          <w:szCs w:val="20"/>
        </w:rPr>
        <w:t xml:space="preserve"> between public and private actors while maintaining fiscal discipline.</w:t>
      </w:r>
    </w:p>
    <w:p w14:paraId="7ACF0D1A" w14:textId="77777777" w:rsidR="00BC0C9D" w:rsidRPr="00BC0C9D" w:rsidRDefault="00BC0C9D" w:rsidP="00A71B2B">
      <w:pPr>
        <w:spacing w:line="240" w:lineRule="auto"/>
        <w:rPr>
          <w:rFonts w:ascii="Times New Roman" w:eastAsia="Times New Roman" w:hAnsi="Times New Roman" w:cs="Times New Roman"/>
          <w:b/>
          <w:bCs/>
          <w:sz w:val="20"/>
          <w:szCs w:val="20"/>
        </w:rPr>
      </w:pPr>
      <w:r w:rsidRPr="00BC0C9D">
        <w:rPr>
          <w:rFonts w:ascii="Times New Roman" w:eastAsia="Times New Roman" w:hAnsi="Times New Roman" w:cs="Times New Roman"/>
          <w:b/>
          <w:bCs/>
          <w:sz w:val="20"/>
          <w:szCs w:val="20"/>
        </w:rPr>
        <w:lastRenderedPageBreak/>
        <w:t>Prospective Price Mechanisms for SBSP Commercialization</w:t>
      </w:r>
    </w:p>
    <w:p w14:paraId="701D64B4" w14:textId="77777777" w:rsidR="00BC0C9D" w:rsidRPr="00BC0C9D" w:rsidRDefault="00BC0C9D" w:rsidP="00A71B2B">
      <w:pPr>
        <w:spacing w:line="240" w:lineRule="auto"/>
        <w:rPr>
          <w:rFonts w:ascii="Times New Roman" w:eastAsia="Times New Roman" w:hAnsi="Times New Roman" w:cs="Times New Roman"/>
          <w:sz w:val="20"/>
          <w:szCs w:val="20"/>
        </w:rPr>
      </w:pPr>
      <w:r w:rsidRPr="00BC0C9D">
        <w:rPr>
          <w:rFonts w:ascii="Times New Roman" w:eastAsia="Times New Roman" w:hAnsi="Times New Roman" w:cs="Times New Roman"/>
          <w:sz w:val="20"/>
          <w:szCs w:val="20"/>
        </w:rPr>
        <w:t>As SBSP technologies mature, additional price-based mechanisms will be required to support large-scale commercialization. Carbon pricing and crediting mechanisms represent a key opportunity. Electricity generated by SBSP avoids greenhouse gas emissions associated with fossil fuel generation and could qualify for tradable carbon credits under national or international emissions trading systems, creating supplementary revenue while reinforcing decarbonization goals.</w:t>
      </w:r>
    </w:p>
    <w:p w14:paraId="3D6F9300" w14:textId="22D085C0" w:rsidR="00BC0C9D" w:rsidRPr="00BC0C9D" w:rsidRDefault="00BC0C9D" w:rsidP="00A71B2B">
      <w:pPr>
        <w:spacing w:line="240" w:lineRule="auto"/>
        <w:rPr>
          <w:rFonts w:ascii="Times New Roman" w:eastAsia="Times New Roman" w:hAnsi="Times New Roman" w:cs="Times New Roman"/>
          <w:sz w:val="20"/>
          <w:szCs w:val="20"/>
        </w:rPr>
      </w:pPr>
      <w:r w:rsidRPr="00BC0C9D">
        <w:rPr>
          <w:rFonts w:ascii="Times New Roman" w:eastAsia="Times New Roman" w:hAnsi="Times New Roman" w:cs="Times New Roman"/>
          <w:sz w:val="20"/>
          <w:szCs w:val="20"/>
        </w:rPr>
        <w:t>Contracts for Difference (CfDs) offer a powerful tool for managing market risk. By guaranteeing a fixed strike price for SBSP-generated electricity, CfDs reduce exposure to price volatility and provide predictable returns during early deployment phases. Similarly, time-limited feed-in tariffs can accelerate initial deployment by offering above-market payments for SBSP electricity, with a planned transition to competitive auctions as technology costs decline</w:t>
      </w:r>
      <w:r w:rsidR="005D43DC">
        <w:rPr>
          <w:rFonts w:ascii="Times New Roman" w:eastAsia="Times New Roman" w:hAnsi="Times New Roman" w:cs="Times New Roman"/>
          <w:sz w:val="20"/>
          <w:szCs w:val="20"/>
        </w:rPr>
        <w:t xml:space="preserve"> and market confidence improves</w:t>
      </w:r>
      <w:r w:rsidRPr="00BC0C9D">
        <w:rPr>
          <w:rFonts w:ascii="Times New Roman" w:eastAsia="Times New Roman" w:hAnsi="Times New Roman" w:cs="Times New Roman"/>
          <w:sz w:val="20"/>
          <w:szCs w:val="20"/>
        </w:rPr>
        <w:t xml:space="preserve"> (</w:t>
      </w:r>
      <w:r w:rsidR="005D43DC">
        <w:rPr>
          <w:rFonts w:ascii="Times New Roman" w:eastAsia="Times New Roman" w:hAnsi="Times New Roman" w:cs="Times New Roman"/>
          <w:sz w:val="20"/>
          <w:szCs w:val="20"/>
        </w:rPr>
        <w:t>Couture et al., 2010; del Rio &amp; Linares, 2014</w:t>
      </w:r>
      <w:r w:rsidRPr="00BC0C9D">
        <w:rPr>
          <w:rFonts w:ascii="Times New Roman" w:eastAsia="Times New Roman" w:hAnsi="Times New Roman" w:cs="Times New Roman"/>
          <w:sz w:val="20"/>
          <w:szCs w:val="20"/>
        </w:rPr>
        <w:t>).</w:t>
      </w:r>
    </w:p>
    <w:p w14:paraId="205A67D7" w14:textId="1CA4ECF2" w:rsidR="00BC0C9D" w:rsidRDefault="00BC0C9D" w:rsidP="00A71B2B">
      <w:pPr>
        <w:spacing w:line="240" w:lineRule="auto"/>
        <w:rPr>
          <w:rFonts w:ascii="Times New Roman" w:eastAsia="Times New Roman" w:hAnsi="Times New Roman" w:cs="Times New Roman"/>
          <w:sz w:val="20"/>
          <w:szCs w:val="20"/>
        </w:rPr>
      </w:pPr>
      <w:r w:rsidRPr="00BC0C9D">
        <w:rPr>
          <w:rFonts w:ascii="Times New Roman" w:eastAsia="Times New Roman" w:hAnsi="Times New Roman" w:cs="Times New Roman"/>
          <w:sz w:val="20"/>
          <w:szCs w:val="20"/>
        </w:rPr>
        <w:t>Targeted launch and transmission subsidies</w:t>
      </w:r>
      <w:r w:rsidR="005D43DC">
        <w:rPr>
          <w:rFonts w:ascii="Times New Roman" w:eastAsia="Times New Roman" w:hAnsi="Times New Roman" w:cs="Times New Roman"/>
          <w:sz w:val="20"/>
          <w:szCs w:val="20"/>
        </w:rPr>
        <w:t xml:space="preserve">, </w:t>
      </w:r>
      <w:r w:rsidRPr="00BC0C9D">
        <w:rPr>
          <w:rFonts w:ascii="Times New Roman" w:eastAsia="Times New Roman" w:hAnsi="Times New Roman" w:cs="Times New Roman"/>
          <w:sz w:val="20"/>
          <w:szCs w:val="20"/>
        </w:rPr>
        <w:t>such as shared-cost launch rebates, rectenna construction grants, or production-based incentives</w:t>
      </w:r>
      <w:r w:rsidR="005D43DC">
        <w:rPr>
          <w:rFonts w:ascii="Times New Roman" w:eastAsia="Times New Roman" w:hAnsi="Times New Roman" w:cs="Times New Roman"/>
          <w:sz w:val="20"/>
          <w:szCs w:val="20"/>
        </w:rPr>
        <w:t xml:space="preserve">, </w:t>
      </w:r>
      <w:r w:rsidRPr="00BC0C9D">
        <w:rPr>
          <w:rFonts w:ascii="Times New Roman" w:eastAsia="Times New Roman" w:hAnsi="Times New Roman" w:cs="Times New Roman"/>
          <w:sz w:val="20"/>
          <w:szCs w:val="20"/>
        </w:rPr>
        <w:t>can further narrow the cost gap between SBSP and terrestrial renewable energy systems. These mechanisms recognize that SBSP’s system-level benefits, including reliability and global reach, are not fully reflected in existing market prices.</w:t>
      </w:r>
    </w:p>
    <w:p w14:paraId="3807EC87" w14:textId="6F0BD7CB" w:rsidR="00776FF2" w:rsidRPr="00BC0C9D" w:rsidRDefault="00776FF2" w:rsidP="00A71B2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 addition, c</w:t>
      </w:r>
      <w:r w:rsidRPr="00776FF2">
        <w:rPr>
          <w:rFonts w:ascii="Times New Roman" w:eastAsia="Times New Roman" w:hAnsi="Times New Roman" w:cs="Times New Roman"/>
          <w:sz w:val="20"/>
          <w:szCs w:val="20"/>
        </w:rPr>
        <w:t>oncessional loans, green bonds, blended finance structures, and joint-venture investment models can reduce the financial barriers associated with rectenna construction, capacity building, and satellite procurement.</w:t>
      </w:r>
    </w:p>
    <w:p w14:paraId="7902E5D1" w14:textId="42647840" w:rsidR="00734F27" w:rsidRDefault="00BC0C9D" w:rsidP="00A71B2B">
      <w:pPr>
        <w:spacing w:line="240" w:lineRule="auto"/>
        <w:rPr>
          <w:rFonts w:ascii="Times New Roman" w:eastAsia="Times New Roman" w:hAnsi="Times New Roman" w:cs="Times New Roman"/>
          <w:sz w:val="20"/>
          <w:szCs w:val="20"/>
        </w:rPr>
      </w:pPr>
      <w:r w:rsidRPr="00BC0C9D">
        <w:rPr>
          <w:rFonts w:ascii="Times New Roman" w:eastAsia="Times New Roman" w:hAnsi="Times New Roman" w:cs="Times New Roman"/>
          <w:sz w:val="20"/>
          <w:szCs w:val="20"/>
        </w:rPr>
        <w:t xml:space="preserve">By embedding environmental value, risk reduction, and equity considerations into price signals, these mechanisms promote market-oriented efficiency while preventing SBSP from reproducing existing </w:t>
      </w:r>
      <w:r w:rsidR="005944AF">
        <w:rPr>
          <w:rFonts w:ascii="Times New Roman" w:eastAsia="Times New Roman" w:hAnsi="Times New Roman" w:cs="Times New Roman"/>
          <w:sz w:val="20"/>
          <w:szCs w:val="20"/>
        </w:rPr>
        <w:t>jurisdictional</w:t>
      </w:r>
      <w:r w:rsidR="00776FF2">
        <w:rPr>
          <w:rFonts w:ascii="Times New Roman" w:eastAsia="Times New Roman" w:hAnsi="Times New Roman" w:cs="Times New Roman"/>
          <w:sz w:val="20"/>
          <w:szCs w:val="20"/>
        </w:rPr>
        <w:t xml:space="preserve"> </w:t>
      </w:r>
      <w:r w:rsidRPr="00BC0C9D">
        <w:rPr>
          <w:rFonts w:ascii="Times New Roman" w:eastAsia="Times New Roman" w:hAnsi="Times New Roman" w:cs="Times New Roman"/>
          <w:sz w:val="20"/>
          <w:szCs w:val="20"/>
        </w:rPr>
        <w:t>energy inequalities.</w:t>
      </w:r>
    </w:p>
    <w:p w14:paraId="6F3CBB81" w14:textId="5C9C6414" w:rsidR="0F09D31E" w:rsidRDefault="0F09D31E" w:rsidP="00A71B2B">
      <w:pPr>
        <w:spacing w:line="240" w:lineRule="auto"/>
        <w:rPr>
          <w:rFonts w:ascii="Times New Roman" w:eastAsia="Times New Roman" w:hAnsi="Times New Roman" w:cs="Times New Roman"/>
          <w:b/>
          <w:bCs/>
          <w:sz w:val="20"/>
          <w:szCs w:val="20"/>
        </w:rPr>
      </w:pPr>
      <w:r w:rsidRPr="09617BC6">
        <w:rPr>
          <w:rFonts w:ascii="Times New Roman" w:eastAsia="Times New Roman" w:hAnsi="Times New Roman" w:cs="Times New Roman"/>
          <w:b/>
          <w:bCs/>
          <w:sz w:val="20"/>
          <w:szCs w:val="20"/>
        </w:rPr>
        <w:t>3.2.3.4 Market or Quantity Mechanisms</w:t>
      </w:r>
    </w:p>
    <w:p w14:paraId="407051CB" w14:textId="191CDD64" w:rsidR="000B5C2A" w:rsidRPr="000B5C2A" w:rsidRDefault="000B5C2A" w:rsidP="00A71B2B">
      <w:pPr>
        <w:pStyle w:val="Heading10"/>
        <w:ind w:left="0"/>
        <w:rPr>
          <w:b w:val="0"/>
          <w:bCs w:val="0"/>
        </w:rPr>
      </w:pPr>
      <w:r w:rsidRPr="000B5C2A">
        <w:rPr>
          <w:b w:val="0"/>
          <w:bCs w:val="0"/>
        </w:rPr>
        <w:t>Market- or quantity-based policy mechanisms translate regulatory objectives into competitive market structures by allocating rights, quotas, and access through transparent and rule-based processes. For SBSP, these instruments are essential for embedding orbital energy systems within broader renewable energy markets while promoting efficiency, innovation, and disciplined competition. Unlike price mechanisms, which primarily reduce risk, market mechanisms shape who participates, at what scale, and under what performance conditions.</w:t>
      </w:r>
    </w:p>
    <w:p w14:paraId="2FFEC04C" w14:textId="77777777" w:rsidR="000B5C2A" w:rsidRPr="000B5C2A" w:rsidRDefault="000B5C2A" w:rsidP="00A71B2B">
      <w:pPr>
        <w:pStyle w:val="Heading10"/>
        <w:ind w:left="0"/>
        <w:rPr>
          <w:b w:val="0"/>
          <w:bCs w:val="0"/>
        </w:rPr>
      </w:pPr>
    </w:p>
    <w:p w14:paraId="5B23FE7F" w14:textId="2049E606" w:rsidR="000B5C2A" w:rsidRPr="000B5C2A" w:rsidRDefault="000B5C2A" w:rsidP="00A71B2B">
      <w:pPr>
        <w:pStyle w:val="Heading10"/>
        <w:ind w:left="0"/>
        <w:rPr>
          <w:b w:val="0"/>
          <w:bCs w:val="0"/>
        </w:rPr>
      </w:pPr>
      <w:r w:rsidRPr="000B5C2A">
        <w:rPr>
          <w:b w:val="0"/>
          <w:bCs w:val="0"/>
        </w:rPr>
        <w:t>At present, there are no fully developed market or quantity mechanisms designed specifically for SBSP. Nevertheless, experience from terrestrial renewable energy markets provides a clear blueprint for how such mechanisms could be designed as SBSP matures.</w:t>
      </w:r>
    </w:p>
    <w:p w14:paraId="0EE734A4" w14:textId="77777777" w:rsidR="000B5C2A" w:rsidRPr="000B5C2A" w:rsidRDefault="000B5C2A" w:rsidP="00A71B2B">
      <w:pPr>
        <w:pStyle w:val="Heading10"/>
        <w:ind w:left="0"/>
        <w:rPr>
          <w:b w:val="0"/>
          <w:bCs w:val="0"/>
        </w:rPr>
      </w:pPr>
    </w:p>
    <w:p w14:paraId="56DB3DA3" w14:textId="36C416C7" w:rsidR="000B5C2A" w:rsidRPr="000B5C2A" w:rsidRDefault="000B5C2A" w:rsidP="00A71B2B">
      <w:pPr>
        <w:pStyle w:val="Heading10"/>
        <w:ind w:left="0"/>
      </w:pPr>
      <w:r w:rsidRPr="000B5C2A">
        <w:t>Prospective Market and Quantity Mechanisms</w:t>
      </w:r>
      <w:r>
        <w:t xml:space="preserve"> for SBSP</w:t>
      </w:r>
    </w:p>
    <w:p w14:paraId="33D869B0" w14:textId="77777777" w:rsidR="000B5C2A" w:rsidRPr="000B5C2A" w:rsidRDefault="000B5C2A" w:rsidP="00A71B2B">
      <w:pPr>
        <w:pStyle w:val="Heading10"/>
        <w:ind w:left="0"/>
        <w:rPr>
          <w:b w:val="0"/>
          <w:bCs w:val="0"/>
        </w:rPr>
      </w:pPr>
    </w:p>
    <w:p w14:paraId="5C25BAA3" w14:textId="052BE8C5" w:rsidR="000B5C2A" w:rsidRPr="000B5C2A" w:rsidRDefault="000B5C2A" w:rsidP="00A71B2B">
      <w:pPr>
        <w:pStyle w:val="Heading10"/>
        <w:ind w:left="0"/>
        <w:rPr>
          <w:b w:val="0"/>
          <w:bCs w:val="0"/>
        </w:rPr>
      </w:pPr>
      <w:r w:rsidRPr="000B5C2A">
        <w:rPr>
          <w:b w:val="0"/>
          <w:bCs w:val="0"/>
        </w:rPr>
        <w:t>Competitive allocation mechanisms represent a core pillar of future SBSP markets. Quasi-market approaches to spectrum allocation</w:t>
      </w:r>
      <w:r w:rsidR="00941ABF">
        <w:rPr>
          <w:b w:val="0"/>
          <w:bCs w:val="0"/>
        </w:rPr>
        <w:t xml:space="preserve">, </w:t>
      </w:r>
      <w:r w:rsidRPr="000B5C2A">
        <w:rPr>
          <w:b w:val="0"/>
          <w:bCs w:val="0"/>
        </w:rPr>
        <w:t>where frequency bands suitable for wireless power transmission are auctioned, assigned, and conditionally transferable</w:t>
      </w:r>
      <w:r w:rsidR="00941ABF">
        <w:rPr>
          <w:b w:val="0"/>
          <w:bCs w:val="0"/>
        </w:rPr>
        <w:t xml:space="preserve">, </w:t>
      </w:r>
      <w:r w:rsidRPr="000B5C2A">
        <w:rPr>
          <w:b w:val="0"/>
          <w:bCs w:val="0"/>
        </w:rPr>
        <w:t xml:space="preserve">could promote efficient use of scarce spectrum resources while maintaining safeguards against excessive concentration or speculative behavior. </w:t>
      </w:r>
      <w:r w:rsidR="00AA22F6">
        <w:rPr>
          <w:b w:val="0"/>
          <w:bCs w:val="0"/>
        </w:rPr>
        <w:t xml:space="preserve">This mechanism requires domestic </w:t>
      </w:r>
      <w:r w:rsidR="00C21C96">
        <w:rPr>
          <w:b w:val="0"/>
          <w:bCs w:val="0"/>
        </w:rPr>
        <w:t>institutions</w:t>
      </w:r>
      <w:r w:rsidR="002D6374">
        <w:rPr>
          <w:b w:val="0"/>
          <w:bCs w:val="0"/>
        </w:rPr>
        <w:t xml:space="preserve"> in </w:t>
      </w:r>
      <w:r w:rsidR="000B63CA">
        <w:rPr>
          <w:b w:val="0"/>
          <w:bCs w:val="0"/>
        </w:rPr>
        <w:t xml:space="preserve">coordination with </w:t>
      </w:r>
      <w:r w:rsidR="00B25D68">
        <w:rPr>
          <w:b w:val="0"/>
          <w:bCs w:val="0"/>
        </w:rPr>
        <w:t xml:space="preserve">the </w:t>
      </w:r>
      <w:r w:rsidRPr="000B5C2A">
        <w:rPr>
          <w:b w:val="0"/>
          <w:bCs w:val="0"/>
        </w:rPr>
        <w:t>ITU to ensure cross-border interoperability and interference avoidance.</w:t>
      </w:r>
      <w:r w:rsidR="006226BB">
        <w:rPr>
          <w:b w:val="0"/>
          <w:bCs w:val="0"/>
        </w:rPr>
        <w:t xml:space="preserve"> </w:t>
      </w:r>
      <w:r w:rsidR="002B06A3">
        <w:rPr>
          <w:b w:val="0"/>
          <w:bCs w:val="0"/>
        </w:rPr>
        <w:t>Similarly, c</w:t>
      </w:r>
      <w:r w:rsidRPr="000B5C2A">
        <w:rPr>
          <w:b w:val="0"/>
          <w:bCs w:val="0"/>
        </w:rPr>
        <w:t xml:space="preserve">ompetitive allocation of geostationary orbital slots for SBSP platforms, subject to international coordination and performance obligations, could reduce congestion and incentivize efficient orbital use. </w:t>
      </w:r>
    </w:p>
    <w:p w14:paraId="2E75E9C4" w14:textId="77777777" w:rsidR="000B5C2A" w:rsidRPr="000B5C2A" w:rsidRDefault="000B5C2A" w:rsidP="00A71B2B">
      <w:pPr>
        <w:pStyle w:val="Heading10"/>
        <w:ind w:left="0"/>
        <w:rPr>
          <w:b w:val="0"/>
          <w:bCs w:val="0"/>
        </w:rPr>
      </w:pPr>
    </w:p>
    <w:p w14:paraId="7C95C2EA" w14:textId="2E96ADC2" w:rsidR="000B5C2A" w:rsidRPr="000B5C2A" w:rsidRDefault="000B5C2A" w:rsidP="00A71B2B">
      <w:pPr>
        <w:pStyle w:val="Heading10"/>
        <w:ind w:left="0"/>
        <w:rPr>
          <w:b w:val="0"/>
          <w:bCs w:val="0"/>
        </w:rPr>
      </w:pPr>
      <w:r w:rsidRPr="000B5C2A">
        <w:rPr>
          <w:b w:val="0"/>
          <w:bCs w:val="0"/>
        </w:rPr>
        <w:t>Energy delivery obligations offer another pathway for market formation. Mandatory procurement quotas requiring utilities or system operators to source a defined share of electricity from SBSP or other space-based renewables could create guaranteed demand. Compliance could be facilitated through tradable instruments</w:t>
      </w:r>
      <w:r w:rsidR="005D43DC">
        <w:rPr>
          <w:b w:val="0"/>
          <w:bCs w:val="0"/>
        </w:rPr>
        <w:t xml:space="preserve">, </w:t>
      </w:r>
      <w:r w:rsidRPr="000B5C2A">
        <w:rPr>
          <w:b w:val="0"/>
          <w:bCs w:val="0"/>
        </w:rPr>
        <w:t xml:space="preserve">such as </w:t>
      </w:r>
      <w:r w:rsidR="005541CD">
        <w:rPr>
          <w:b w:val="0"/>
          <w:bCs w:val="0"/>
        </w:rPr>
        <w:t xml:space="preserve">Space Solar </w:t>
      </w:r>
      <w:r w:rsidRPr="000B5C2A">
        <w:rPr>
          <w:b w:val="0"/>
          <w:bCs w:val="0"/>
        </w:rPr>
        <w:t>Renewable Energy Credits</w:t>
      </w:r>
      <w:r w:rsidR="005D43DC">
        <w:rPr>
          <w:b w:val="0"/>
          <w:bCs w:val="0"/>
        </w:rPr>
        <w:t xml:space="preserve">, </w:t>
      </w:r>
      <w:r w:rsidRPr="000B5C2A">
        <w:rPr>
          <w:b w:val="0"/>
          <w:bCs w:val="0"/>
        </w:rPr>
        <w:t>allowing market participants to meet obligations flexibly while encouraging cost-effective deployment.</w:t>
      </w:r>
    </w:p>
    <w:p w14:paraId="18638C7D" w14:textId="77777777" w:rsidR="000B5C2A" w:rsidRPr="000B5C2A" w:rsidRDefault="000B5C2A" w:rsidP="00A71B2B">
      <w:pPr>
        <w:pStyle w:val="Heading10"/>
        <w:ind w:left="0"/>
        <w:rPr>
          <w:b w:val="0"/>
          <w:bCs w:val="0"/>
        </w:rPr>
      </w:pPr>
    </w:p>
    <w:p w14:paraId="3E114617" w14:textId="77777777" w:rsidR="000B5C2A" w:rsidRPr="000B5C2A" w:rsidRDefault="000B5C2A" w:rsidP="00A71B2B">
      <w:pPr>
        <w:pStyle w:val="Heading10"/>
        <w:ind w:left="0"/>
        <w:rPr>
          <w:b w:val="0"/>
          <w:bCs w:val="0"/>
        </w:rPr>
      </w:pPr>
      <w:r w:rsidRPr="000B5C2A">
        <w:rPr>
          <w:b w:val="0"/>
          <w:bCs w:val="0"/>
        </w:rPr>
        <w:t xml:space="preserve">Governments may also employ time-bound research, transmission, or beam-access franchises to support early-stage SBSP development. Exclusive franchises awarded through competitive processes can accelerate innovation by providing temporary market certainty while preserving long-term competition through performance-based renewal </w:t>
      </w:r>
      <w:r w:rsidRPr="000B5C2A">
        <w:rPr>
          <w:b w:val="0"/>
          <w:bCs w:val="0"/>
        </w:rPr>
        <w:lastRenderedPageBreak/>
        <w:t>or sunset clauses. Such franchises may cover orbital research platforms, transmission corridors, or ground-based rectenna networks.</w:t>
      </w:r>
    </w:p>
    <w:p w14:paraId="37BAC06A" w14:textId="77777777" w:rsidR="000B5C2A" w:rsidRPr="000B5C2A" w:rsidRDefault="000B5C2A" w:rsidP="00A71B2B">
      <w:pPr>
        <w:pStyle w:val="Heading10"/>
        <w:ind w:left="0"/>
        <w:rPr>
          <w:b w:val="0"/>
          <w:bCs w:val="0"/>
        </w:rPr>
      </w:pPr>
    </w:p>
    <w:p w14:paraId="1274771B" w14:textId="77777777" w:rsidR="000B5C2A" w:rsidRPr="000B5C2A" w:rsidRDefault="000B5C2A" w:rsidP="00A71B2B">
      <w:pPr>
        <w:pStyle w:val="Heading10"/>
        <w:ind w:left="0"/>
        <w:rPr>
          <w:b w:val="0"/>
          <w:bCs w:val="0"/>
        </w:rPr>
      </w:pPr>
      <w:r w:rsidRPr="000B5C2A">
        <w:rPr>
          <w:b w:val="0"/>
          <w:bCs w:val="0"/>
        </w:rPr>
        <w:t>Finally, integrating SBSP into national or regional emissions trading systems would allow operators to generate tradable emission reduction credits based on avoided greenhouse gas emissions. This mechanism embeds SBSP within existing carbon markets and reinforces its role as a zero-emission energy source (Goldthau &amp; Sovacool, 2012).</w:t>
      </w:r>
    </w:p>
    <w:p w14:paraId="1909FD0F" w14:textId="77777777" w:rsidR="000B5C2A" w:rsidRPr="000B5C2A" w:rsidRDefault="000B5C2A" w:rsidP="00A71B2B">
      <w:pPr>
        <w:pStyle w:val="Heading10"/>
        <w:ind w:left="0"/>
        <w:rPr>
          <w:b w:val="0"/>
          <w:bCs w:val="0"/>
        </w:rPr>
      </w:pPr>
    </w:p>
    <w:p w14:paraId="0D895828" w14:textId="3487AEEC" w:rsidR="00E54C46" w:rsidRDefault="000B5C2A" w:rsidP="00A71B2B">
      <w:pPr>
        <w:pStyle w:val="Heading10"/>
        <w:ind w:left="0"/>
        <w:rPr>
          <w:b w:val="0"/>
          <w:bCs w:val="0"/>
        </w:rPr>
      </w:pPr>
      <w:r w:rsidRPr="000B5C2A">
        <w:rPr>
          <w:b w:val="0"/>
          <w:bCs w:val="0"/>
        </w:rPr>
        <w:t xml:space="preserve">Collectively, these market and quantity mechanisms institutionalize competition, innovation, and efficiency while allowing policy frameworks to evolve alongside technological maturity. </w:t>
      </w:r>
      <w:r w:rsidR="00480BBE" w:rsidRPr="00480BBE">
        <w:rPr>
          <w:b w:val="0"/>
          <w:bCs w:val="0"/>
        </w:rPr>
        <w:t>Consistent with scholarship on adaptive, market-based climate governance, SBSP market mechanisms should be introduced incrementally, refined through learning-by-doing, and scaled in step with expanding technical and institutional capacity (Jordan &amp; Matt, 2014; Newell et al., 2014; Sabel &amp; Zeitlin, 2012).</w:t>
      </w:r>
    </w:p>
    <w:p w14:paraId="307D4693" w14:textId="77777777" w:rsidR="004A4F3A" w:rsidRDefault="004A4F3A" w:rsidP="00A71B2B">
      <w:pPr>
        <w:pStyle w:val="Heading10"/>
        <w:ind w:left="0"/>
        <w:rPr>
          <w:b w:val="0"/>
          <w:bCs w:val="0"/>
        </w:rPr>
      </w:pPr>
    </w:p>
    <w:p w14:paraId="4F1ABE87" w14:textId="77777777" w:rsidR="000B5C2A" w:rsidRDefault="000B5C2A" w:rsidP="00A71B2B">
      <w:pPr>
        <w:pStyle w:val="Heading10"/>
        <w:ind w:left="0"/>
      </w:pPr>
    </w:p>
    <w:p w14:paraId="26A244A1" w14:textId="47264E4A" w:rsidR="0F09D31E" w:rsidRPr="00C4022B" w:rsidRDefault="0F09D31E" w:rsidP="00A71B2B">
      <w:pPr>
        <w:pStyle w:val="Heading10"/>
        <w:numPr>
          <w:ilvl w:val="0"/>
          <w:numId w:val="32"/>
        </w:numPr>
      </w:pPr>
      <w:r w:rsidRPr="09617BC6">
        <w:t>Conclusion</w:t>
      </w:r>
    </w:p>
    <w:p w14:paraId="095F3606" w14:textId="51EBDCE2" w:rsidR="004A785E" w:rsidRPr="004A785E" w:rsidRDefault="004A785E" w:rsidP="00B01EED">
      <w:pPr>
        <w:spacing w:line="240" w:lineRule="auto"/>
        <w:rPr>
          <w:rFonts w:ascii="Times New Roman" w:eastAsia="Times New Roman" w:hAnsi="Times New Roman" w:cs="Times New Roman"/>
          <w:sz w:val="20"/>
          <w:szCs w:val="20"/>
        </w:rPr>
      </w:pPr>
      <w:r w:rsidRPr="004A785E">
        <w:rPr>
          <w:rFonts w:ascii="Times New Roman" w:eastAsia="Times New Roman" w:hAnsi="Times New Roman" w:cs="Times New Roman"/>
          <w:sz w:val="20"/>
          <w:szCs w:val="20"/>
        </w:rPr>
        <w:t xml:space="preserve">Advances in </w:t>
      </w:r>
      <w:r w:rsidR="00CC5B2D">
        <w:rPr>
          <w:rFonts w:ascii="Times New Roman" w:eastAsia="Times New Roman" w:hAnsi="Times New Roman" w:cs="Times New Roman"/>
          <w:sz w:val="20"/>
          <w:szCs w:val="20"/>
        </w:rPr>
        <w:t>space technologies</w:t>
      </w:r>
      <w:r w:rsidRPr="004A785E">
        <w:rPr>
          <w:rFonts w:ascii="Times New Roman" w:eastAsia="Times New Roman" w:hAnsi="Times New Roman" w:cs="Times New Roman"/>
          <w:sz w:val="20"/>
          <w:szCs w:val="20"/>
        </w:rPr>
        <w:t xml:space="preserve"> have moved SBSP from theoretical possibility to a technologically plausible component of future energy systems. SBSP presents a distinctive policy problem</w:t>
      </w:r>
      <w:r w:rsidR="005E4D27">
        <w:rPr>
          <w:rFonts w:ascii="Times New Roman" w:eastAsia="Times New Roman" w:hAnsi="Times New Roman" w:cs="Times New Roman"/>
          <w:sz w:val="20"/>
          <w:szCs w:val="20"/>
        </w:rPr>
        <w:t xml:space="preserve"> that combines</w:t>
      </w:r>
      <w:r w:rsidRPr="004A785E">
        <w:rPr>
          <w:rFonts w:ascii="Times New Roman" w:eastAsia="Times New Roman" w:hAnsi="Times New Roman" w:cs="Times New Roman"/>
          <w:sz w:val="20"/>
          <w:szCs w:val="20"/>
        </w:rPr>
        <w:t xml:space="preserve"> large-scale orbital infrastructure, transnational energy transmission, and market formation in the global commons—an intersection rarely addressed by existing governance regimes. These characteristics necessitate a policy architecture grounded in clear guiding principles, including universality, equity, efficiency, sovereignty, institutional feasibility, and resilience</w:t>
      </w:r>
      <w:r w:rsidR="00CC5B2D">
        <w:rPr>
          <w:rFonts w:ascii="Times New Roman" w:eastAsia="Times New Roman" w:hAnsi="Times New Roman" w:cs="Times New Roman"/>
          <w:sz w:val="20"/>
          <w:szCs w:val="20"/>
        </w:rPr>
        <w:t xml:space="preserve">, to overcome </w:t>
      </w:r>
      <w:r w:rsidRPr="004A785E">
        <w:rPr>
          <w:rFonts w:ascii="Times New Roman" w:eastAsia="Times New Roman" w:hAnsi="Times New Roman" w:cs="Times New Roman"/>
          <w:sz w:val="20"/>
          <w:szCs w:val="20"/>
        </w:rPr>
        <w:t>fragmented governance, market concentration, and geopolitical contestation.</w:t>
      </w:r>
    </w:p>
    <w:p w14:paraId="24A829A5" w14:textId="77777777" w:rsidR="004A785E" w:rsidRPr="004A785E" w:rsidRDefault="004A785E" w:rsidP="00B01EED">
      <w:pPr>
        <w:spacing w:line="240" w:lineRule="auto"/>
        <w:rPr>
          <w:rFonts w:ascii="Times New Roman" w:eastAsia="Times New Roman" w:hAnsi="Times New Roman" w:cs="Times New Roman"/>
          <w:sz w:val="20"/>
          <w:szCs w:val="20"/>
        </w:rPr>
      </w:pPr>
      <w:r w:rsidRPr="004A785E">
        <w:rPr>
          <w:rFonts w:ascii="Times New Roman" w:eastAsia="Times New Roman" w:hAnsi="Times New Roman" w:cs="Times New Roman"/>
          <w:sz w:val="20"/>
          <w:szCs w:val="20"/>
        </w:rPr>
        <w:t>This study demonstrates that effective SBSP governance requires complementary policy mechanisms operating at both international and national levels. International frameworks provide legitimacy, coordinate spectrum and orbital resources, and manage cross-border risks. Domestic policies, in turn, operationalize these norms through administrative oversight, investment incentives, price signals, and market-based allocation mechanisms. Together, these instruments align public objectives with private-sector capabilities, enabling the formation of an efficient and competitive SBSP market.</w:t>
      </w:r>
    </w:p>
    <w:p w14:paraId="625271E3" w14:textId="2F4324CB" w:rsidR="004A785E" w:rsidRPr="004A785E" w:rsidRDefault="004A785E" w:rsidP="00B01EED">
      <w:pPr>
        <w:spacing w:line="240" w:lineRule="auto"/>
        <w:rPr>
          <w:rFonts w:ascii="Times New Roman" w:eastAsia="Times New Roman" w:hAnsi="Times New Roman" w:cs="Times New Roman"/>
          <w:sz w:val="20"/>
          <w:szCs w:val="20"/>
        </w:rPr>
      </w:pPr>
      <w:r w:rsidRPr="004A785E">
        <w:rPr>
          <w:rFonts w:ascii="Times New Roman" w:eastAsia="Times New Roman" w:hAnsi="Times New Roman" w:cs="Times New Roman"/>
          <w:sz w:val="20"/>
          <w:szCs w:val="20"/>
        </w:rPr>
        <w:t xml:space="preserve">The analysis carries several implications for policymakers and researchers. First, SBSP governance should be treated as a market-design challenge as much as a technological one, requiring early attention to institutional sequencing, risk allocation, and safeguards against concentration. Second, international coordination on spectrum management, orbital slot allocation, and liability should proceed incrementally, combining soft-law arrangements with clear pathways toward binding commitments. Third, domestic policy </w:t>
      </w:r>
      <w:r w:rsidR="00941ABF" w:rsidRPr="004A785E">
        <w:rPr>
          <w:rFonts w:ascii="Times New Roman" w:eastAsia="Times New Roman" w:hAnsi="Times New Roman" w:cs="Times New Roman"/>
          <w:sz w:val="20"/>
          <w:szCs w:val="20"/>
        </w:rPr>
        <w:t xml:space="preserve">experimentation, </w:t>
      </w:r>
      <w:r w:rsidRPr="004A785E">
        <w:rPr>
          <w:rFonts w:ascii="Times New Roman" w:eastAsia="Times New Roman" w:hAnsi="Times New Roman" w:cs="Times New Roman"/>
          <w:sz w:val="20"/>
          <w:szCs w:val="20"/>
        </w:rPr>
        <w:t>particularly in licensing, public procurement, and grid integration</w:t>
      </w:r>
      <w:r w:rsidR="00941ABF">
        <w:rPr>
          <w:rFonts w:ascii="Times New Roman" w:eastAsia="Times New Roman" w:hAnsi="Times New Roman" w:cs="Times New Roman"/>
          <w:sz w:val="20"/>
          <w:szCs w:val="20"/>
        </w:rPr>
        <w:t xml:space="preserve">, </w:t>
      </w:r>
      <w:r w:rsidRPr="004A785E">
        <w:rPr>
          <w:rFonts w:ascii="Times New Roman" w:eastAsia="Times New Roman" w:hAnsi="Times New Roman" w:cs="Times New Roman"/>
          <w:sz w:val="20"/>
          <w:szCs w:val="20"/>
        </w:rPr>
        <w:t>will be critical for translating global ambition into operational reality.</w:t>
      </w:r>
    </w:p>
    <w:p w14:paraId="754AE2CE" w14:textId="4E34E378" w:rsidR="00DC7C47" w:rsidRDefault="00DC7C47" w:rsidP="00B01EED">
      <w:pPr>
        <w:spacing w:line="240" w:lineRule="auto"/>
        <w:rPr>
          <w:rFonts w:ascii="Times New Roman" w:eastAsia="Times New Roman" w:hAnsi="Times New Roman" w:cs="Times New Roman"/>
          <w:sz w:val="20"/>
          <w:szCs w:val="20"/>
        </w:rPr>
      </w:pPr>
      <w:r w:rsidRPr="00DC7C47">
        <w:rPr>
          <w:rFonts w:ascii="Times New Roman" w:eastAsia="Times New Roman" w:hAnsi="Times New Roman" w:cs="Times New Roman"/>
          <w:sz w:val="20"/>
          <w:szCs w:val="20"/>
        </w:rPr>
        <w:t xml:space="preserve">This study is subject to several limitations. First, the analysis is primarily conceptual and policy-oriented, drawing on existing literature, institutional documents, and comparative governance frameworks rather than original empirical data or quantitative modeling. As a result, the proposed policy architecture should be interpreted as a heuristic framework rather than a predictive assessment of SBSP deployment outcomes. Second, while the study adopts a global perspective, it relies disproportionately on </w:t>
      </w:r>
      <w:r w:rsidR="00B60E25">
        <w:rPr>
          <w:rFonts w:ascii="Times New Roman" w:eastAsia="Times New Roman" w:hAnsi="Times New Roman" w:cs="Times New Roman"/>
          <w:sz w:val="20"/>
          <w:szCs w:val="20"/>
        </w:rPr>
        <w:t xml:space="preserve">national </w:t>
      </w:r>
      <w:r w:rsidRPr="00DC7C47">
        <w:rPr>
          <w:rFonts w:ascii="Times New Roman" w:eastAsia="Times New Roman" w:hAnsi="Times New Roman" w:cs="Times New Roman"/>
          <w:sz w:val="20"/>
          <w:szCs w:val="20"/>
        </w:rPr>
        <w:t xml:space="preserve">policy developments and institutional structures </w:t>
      </w:r>
      <w:r w:rsidR="00573E0D">
        <w:rPr>
          <w:rFonts w:ascii="Times New Roman" w:eastAsia="Times New Roman" w:hAnsi="Times New Roman" w:cs="Times New Roman"/>
          <w:sz w:val="20"/>
          <w:szCs w:val="20"/>
        </w:rPr>
        <w:t>in</w:t>
      </w:r>
      <w:r w:rsidRPr="00DC7C47">
        <w:rPr>
          <w:rFonts w:ascii="Times New Roman" w:eastAsia="Times New Roman" w:hAnsi="Times New Roman" w:cs="Times New Roman"/>
          <w:sz w:val="20"/>
          <w:szCs w:val="20"/>
        </w:rPr>
        <w:t xml:space="preserve"> </w:t>
      </w:r>
      <w:r w:rsidR="00B60E25">
        <w:rPr>
          <w:rFonts w:ascii="Times New Roman" w:eastAsia="Times New Roman" w:hAnsi="Times New Roman" w:cs="Times New Roman"/>
          <w:sz w:val="20"/>
          <w:szCs w:val="20"/>
        </w:rPr>
        <w:t>the United States</w:t>
      </w:r>
      <w:r w:rsidRPr="00DC7C47">
        <w:rPr>
          <w:rFonts w:ascii="Times New Roman" w:eastAsia="Times New Roman" w:hAnsi="Times New Roman" w:cs="Times New Roman"/>
          <w:sz w:val="20"/>
          <w:szCs w:val="20"/>
        </w:rPr>
        <w:t>, which may limit its applicability to countries with different administrative capacities or political contexts. Third, the rapidly evolving nature of SBSP technologies and space governance means that regulatory assumptions, cost trajectories, and market conditions discussed in this paper may change as demonstrations progress. These limitations highlight the need for future empirical research and policy experimentation to test and refine the proposed framework.</w:t>
      </w:r>
    </w:p>
    <w:p w14:paraId="0FE7EE3B" w14:textId="2F4B42B5" w:rsidR="004A785E" w:rsidRPr="004A785E" w:rsidRDefault="004A785E" w:rsidP="00B01EED">
      <w:pPr>
        <w:spacing w:line="240" w:lineRule="auto"/>
        <w:rPr>
          <w:rFonts w:ascii="Times New Roman" w:eastAsia="Times New Roman" w:hAnsi="Times New Roman" w:cs="Times New Roman"/>
          <w:sz w:val="20"/>
          <w:szCs w:val="20"/>
        </w:rPr>
      </w:pPr>
      <w:r w:rsidRPr="004A785E">
        <w:rPr>
          <w:rFonts w:ascii="Times New Roman" w:eastAsia="Times New Roman" w:hAnsi="Times New Roman" w:cs="Times New Roman"/>
          <w:sz w:val="20"/>
          <w:szCs w:val="20"/>
        </w:rPr>
        <w:t>Future research should focus on comparative national SBSP policy models, quantitative evaluation of alternative market-design instruments, and the interaction between SBSP governance and existing space, energy, and security regimes. As SBSP approaches deployment, the central policy question will no longer be whether the technology is feasible, but whether governance systems are prepared to manage its economic, political, and societal consequences.</w:t>
      </w:r>
    </w:p>
    <w:p w14:paraId="09EF6C23" w14:textId="5E5542A1" w:rsidR="000B5C2A" w:rsidRPr="009C5E5A" w:rsidRDefault="004A785E" w:rsidP="00B01EED">
      <w:pPr>
        <w:spacing w:line="240" w:lineRule="auto"/>
        <w:rPr>
          <w:rFonts w:ascii="Times New Roman" w:eastAsia="Times New Roman" w:hAnsi="Times New Roman" w:cs="Times New Roman"/>
          <w:sz w:val="20"/>
          <w:szCs w:val="20"/>
        </w:rPr>
      </w:pPr>
      <w:r w:rsidRPr="004A785E">
        <w:rPr>
          <w:rFonts w:ascii="Times New Roman" w:eastAsia="Times New Roman" w:hAnsi="Times New Roman" w:cs="Times New Roman"/>
          <w:sz w:val="20"/>
          <w:szCs w:val="20"/>
        </w:rPr>
        <w:t xml:space="preserve">More broadly, governing the large-scale capture and transmission of sunlight from space marks a new frontier in global governance. By extending energy systems beyond Earth’s surface into orbital space, SBSP challenges existing legal, institutional, and market frameworks. How states choose to regulate, coordinate, and distribute the benefits of this technology will shape not only the future of SBSP, but also the norms governing humanity’s use of </w:t>
      </w:r>
      <w:r w:rsidRPr="004A785E">
        <w:rPr>
          <w:rFonts w:ascii="Times New Roman" w:eastAsia="Times New Roman" w:hAnsi="Times New Roman" w:cs="Times New Roman"/>
          <w:sz w:val="20"/>
          <w:szCs w:val="20"/>
        </w:rPr>
        <w:lastRenderedPageBreak/>
        <w:t>space-based resources. In this sense, SBSP is not merely an energy technology</w:t>
      </w:r>
      <w:r w:rsidR="00DC59A8">
        <w:rPr>
          <w:rFonts w:ascii="Times New Roman" w:eastAsia="Times New Roman" w:hAnsi="Times New Roman" w:cs="Times New Roman"/>
          <w:sz w:val="20"/>
          <w:szCs w:val="20"/>
        </w:rPr>
        <w:t xml:space="preserve">, </w:t>
      </w:r>
      <w:r w:rsidRPr="004A785E">
        <w:rPr>
          <w:rFonts w:ascii="Times New Roman" w:eastAsia="Times New Roman" w:hAnsi="Times New Roman" w:cs="Times New Roman"/>
          <w:sz w:val="20"/>
          <w:szCs w:val="20"/>
        </w:rPr>
        <w:t>it is a test case for governing the next generation of global commons infrastructure.</w:t>
      </w:r>
    </w:p>
    <w:p w14:paraId="11238382" w14:textId="77777777" w:rsidR="0023192A" w:rsidRPr="00E54C46" w:rsidRDefault="00F45D3F" w:rsidP="00A71B2B">
      <w:pPr>
        <w:pStyle w:val="Heading10"/>
        <w:ind w:left="0"/>
      </w:pPr>
      <w:r w:rsidRPr="009C5E5A">
        <w:rPr>
          <w:b w:val="0"/>
          <w:bCs w:val="0"/>
        </w:rPr>
        <w:br w:type="page"/>
      </w:r>
      <w:r w:rsidR="0023192A" w:rsidRPr="00E54C46">
        <w:lastRenderedPageBreak/>
        <w:t>References</w:t>
      </w:r>
    </w:p>
    <w:p w14:paraId="1A78C81A"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Abbott, K. W., &amp; Snidal, D. (2000). Hard and soft law in international governance. </w:t>
      </w:r>
      <w:r w:rsidRPr="00B776C2">
        <w:rPr>
          <w:rFonts w:ascii="Times New Roman" w:hAnsi="Times New Roman" w:cs="Times New Roman"/>
          <w:i/>
          <w:iCs/>
          <w:sz w:val="20"/>
          <w:szCs w:val="20"/>
        </w:rPr>
        <w:t>International Organization</w:t>
      </w:r>
      <w:r w:rsidRPr="00B776C2">
        <w:rPr>
          <w:rFonts w:ascii="Times New Roman" w:hAnsi="Times New Roman" w:cs="Times New Roman"/>
          <w:sz w:val="20"/>
          <w:szCs w:val="20"/>
        </w:rPr>
        <w:t xml:space="preserve">, 54(3), 421–456. </w:t>
      </w:r>
      <w:hyperlink r:id="rId17" w:history="1">
        <w:r w:rsidRPr="00B776C2">
          <w:rPr>
            <w:rStyle w:val="Hyperlink"/>
            <w:rFonts w:ascii="Times New Roman" w:hAnsi="Times New Roman" w:cs="Times New Roman"/>
            <w:sz w:val="20"/>
            <w:szCs w:val="20"/>
          </w:rPr>
          <w:t>https://doi.org/10.1162/002081800551280</w:t>
        </w:r>
      </w:hyperlink>
      <w:r w:rsidRPr="00B776C2">
        <w:rPr>
          <w:rFonts w:ascii="Times New Roman" w:hAnsi="Times New Roman" w:cs="Times New Roman"/>
          <w:sz w:val="20"/>
          <w:szCs w:val="20"/>
        </w:rPr>
        <w:t xml:space="preserve"> </w:t>
      </w:r>
    </w:p>
    <w:p w14:paraId="26A157ED"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Alam, K. S., Daiyan, K. A. M. A., Das, S. K., Abhi, S. H., Muyeen, S. M., Ali, M. F., Tasneem, Z., Islam, M., Islam, M. R., Badal, F. R., Ahamed, M. H., Sarker, S. K., Das, P., &amp; Hasan, M. M. (2024). Towards net zero: A technological review on the potential of space-based solar power and wireless power transmission. </w:t>
      </w:r>
      <w:r w:rsidRPr="00B776C2">
        <w:rPr>
          <w:rFonts w:ascii="Times New Roman" w:hAnsi="Times New Roman" w:cs="Times New Roman"/>
          <w:i/>
          <w:iCs/>
          <w:sz w:val="20"/>
          <w:szCs w:val="20"/>
        </w:rPr>
        <w:t>Heliyon</w:t>
      </w:r>
      <w:r w:rsidRPr="00B776C2">
        <w:rPr>
          <w:rFonts w:ascii="Times New Roman" w:hAnsi="Times New Roman" w:cs="Times New Roman"/>
          <w:sz w:val="20"/>
          <w:szCs w:val="20"/>
        </w:rPr>
        <w:t xml:space="preserve">, 10(9), e29996. </w:t>
      </w:r>
      <w:hyperlink r:id="rId18" w:history="1">
        <w:r w:rsidRPr="00B776C2">
          <w:rPr>
            <w:rStyle w:val="Hyperlink"/>
            <w:rFonts w:ascii="Times New Roman" w:hAnsi="Times New Roman" w:cs="Times New Roman"/>
            <w:sz w:val="20"/>
            <w:szCs w:val="20"/>
          </w:rPr>
          <w:t>https://doi.org/10.1016/j.heliyon.2024.e29996</w:t>
        </w:r>
      </w:hyperlink>
      <w:r w:rsidRPr="00B776C2">
        <w:rPr>
          <w:rFonts w:ascii="Times New Roman" w:hAnsi="Times New Roman" w:cs="Times New Roman"/>
          <w:sz w:val="20"/>
          <w:szCs w:val="20"/>
        </w:rPr>
        <w:t xml:space="preserve"> </w:t>
      </w:r>
    </w:p>
    <w:p w14:paraId="16B6E7B5"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Arthur, W. B. (1989). Competing technologies, increasing returns, and lock-in by historical events. </w:t>
      </w:r>
      <w:r w:rsidRPr="00B776C2">
        <w:rPr>
          <w:rFonts w:ascii="Times New Roman" w:hAnsi="Times New Roman" w:cs="Times New Roman"/>
          <w:i/>
          <w:iCs/>
          <w:sz w:val="20"/>
          <w:szCs w:val="20"/>
        </w:rPr>
        <w:t>The Economic Journal</w:t>
      </w:r>
      <w:r w:rsidRPr="00B776C2">
        <w:rPr>
          <w:rFonts w:ascii="Times New Roman" w:hAnsi="Times New Roman" w:cs="Times New Roman"/>
          <w:sz w:val="20"/>
          <w:szCs w:val="20"/>
        </w:rPr>
        <w:t xml:space="preserve">, 99(394), 116–131. </w:t>
      </w:r>
      <w:hyperlink r:id="rId19" w:history="1">
        <w:r w:rsidRPr="00B776C2">
          <w:rPr>
            <w:rStyle w:val="Hyperlink"/>
            <w:rFonts w:ascii="Times New Roman" w:hAnsi="Times New Roman" w:cs="Times New Roman"/>
            <w:sz w:val="20"/>
            <w:szCs w:val="20"/>
          </w:rPr>
          <w:t>https://doi.org/10.2307/2234208</w:t>
        </w:r>
      </w:hyperlink>
      <w:r w:rsidRPr="00B776C2">
        <w:rPr>
          <w:rFonts w:ascii="Times New Roman" w:hAnsi="Times New Roman" w:cs="Times New Roman"/>
          <w:sz w:val="20"/>
          <w:szCs w:val="20"/>
        </w:rPr>
        <w:t xml:space="preserve"> </w:t>
      </w:r>
    </w:p>
    <w:p w14:paraId="01E3BE9C"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Batty, P. (2025). What are the geopolitical and economic implications of space-based solar power? (USAEE Working Paper No. 25-641). </w:t>
      </w:r>
      <w:hyperlink r:id="rId20" w:history="1">
        <w:r w:rsidRPr="00B776C2">
          <w:rPr>
            <w:rStyle w:val="Hyperlink"/>
            <w:rFonts w:ascii="Times New Roman" w:hAnsi="Times New Roman" w:cs="Times New Roman"/>
            <w:sz w:val="20"/>
            <w:szCs w:val="20"/>
          </w:rPr>
          <w:t>https://doi.org/10.2139/ssrn.5138442</w:t>
        </w:r>
      </w:hyperlink>
      <w:r w:rsidRPr="00B776C2">
        <w:rPr>
          <w:rFonts w:ascii="Times New Roman" w:hAnsi="Times New Roman" w:cs="Times New Roman"/>
          <w:sz w:val="20"/>
          <w:szCs w:val="20"/>
        </w:rPr>
        <w:t xml:space="preserve"> </w:t>
      </w:r>
    </w:p>
    <w:p w14:paraId="19140E76" w14:textId="7B60D3FA"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Brown, W. C. (1984). The history of power transmission by radio waves. </w:t>
      </w:r>
      <w:r w:rsidRPr="00B776C2">
        <w:rPr>
          <w:rFonts w:ascii="Times New Roman" w:hAnsi="Times New Roman" w:cs="Times New Roman"/>
          <w:i/>
          <w:iCs/>
          <w:sz w:val="20"/>
          <w:szCs w:val="20"/>
        </w:rPr>
        <w:t>IEEE Transactions on Microwave Theory and Techniques, 32</w:t>
      </w:r>
      <w:r w:rsidRPr="00B776C2">
        <w:rPr>
          <w:rFonts w:ascii="Times New Roman" w:hAnsi="Times New Roman" w:cs="Times New Roman"/>
          <w:sz w:val="20"/>
          <w:szCs w:val="20"/>
        </w:rPr>
        <w:t xml:space="preserve">(9), 1230–1242. </w:t>
      </w:r>
      <w:hyperlink r:id="rId21" w:history="1">
        <w:r w:rsidR="00DD31F1" w:rsidRPr="00EA4AC5">
          <w:rPr>
            <w:rStyle w:val="Hyperlink"/>
            <w:rFonts w:ascii="Times New Roman" w:hAnsi="Times New Roman" w:cs="Times New Roman"/>
            <w:sz w:val="20"/>
            <w:szCs w:val="20"/>
          </w:rPr>
          <w:t>https://doi.org/10.1109/TMTT.1984.1132833</w:t>
        </w:r>
      </w:hyperlink>
      <w:r w:rsidR="00DD31F1">
        <w:rPr>
          <w:rFonts w:ascii="Times New Roman" w:hAnsi="Times New Roman" w:cs="Times New Roman"/>
          <w:sz w:val="20"/>
          <w:szCs w:val="20"/>
        </w:rPr>
        <w:t xml:space="preserve"> </w:t>
      </w:r>
    </w:p>
    <w:p w14:paraId="317B89A8"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Byers, M &amp; Boley, A (2023). </w:t>
      </w:r>
      <w:r w:rsidRPr="00B776C2">
        <w:rPr>
          <w:rFonts w:ascii="Times New Roman" w:hAnsi="Times New Roman" w:cs="Times New Roman"/>
          <w:i/>
          <w:iCs/>
          <w:sz w:val="20"/>
          <w:szCs w:val="20"/>
        </w:rPr>
        <w:t>Who Owns Outer Space?: International Law, Astrophysics, and the Sustainable Development of Space</w:t>
      </w:r>
      <w:r w:rsidRPr="00B776C2">
        <w:rPr>
          <w:rFonts w:ascii="Times New Roman" w:hAnsi="Times New Roman" w:cs="Times New Roman"/>
          <w:sz w:val="20"/>
          <w:szCs w:val="20"/>
        </w:rPr>
        <w:t xml:space="preserve">. Cambridge University Press. </w:t>
      </w:r>
      <w:hyperlink r:id="rId22" w:history="1">
        <w:r w:rsidRPr="00B776C2">
          <w:rPr>
            <w:rStyle w:val="Hyperlink"/>
            <w:rFonts w:ascii="Times New Roman" w:hAnsi="Times New Roman" w:cs="Times New Roman"/>
            <w:sz w:val="20"/>
            <w:szCs w:val="20"/>
          </w:rPr>
          <w:t>https://doi.org/10.1017/9781108597135</w:t>
        </w:r>
      </w:hyperlink>
      <w:r w:rsidRPr="00B776C2">
        <w:rPr>
          <w:rFonts w:ascii="Times New Roman" w:hAnsi="Times New Roman" w:cs="Times New Roman"/>
          <w:sz w:val="20"/>
          <w:szCs w:val="20"/>
        </w:rPr>
        <w:t xml:space="preserve"> </w:t>
      </w:r>
    </w:p>
    <w:p w14:paraId="5E430702"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Che, X., Liu, L., &amp; He, W. (2025). Assess space-based solar power in European-scale power system decarbonization. </w:t>
      </w:r>
      <w:r w:rsidRPr="00B776C2">
        <w:rPr>
          <w:rFonts w:ascii="Times New Roman" w:hAnsi="Times New Roman" w:cs="Times New Roman"/>
          <w:i/>
          <w:iCs/>
          <w:sz w:val="20"/>
          <w:szCs w:val="20"/>
        </w:rPr>
        <w:t xml:space="preserve">Joule. </w:t>
      </w:r>
      <w:r w:rsidRPr="00B776C2">
        <w:rPr>
          <w:rFonts w:ascii="Times New Roman" w:hAnsi="Times New Roman" w:cs="Times New Roman"/>
          <w:sz w:val="20"/>
          <w:szCs w:val="20"/>
        </w:rPr>
        <w:t>9(9),</w:t>
      </w:r>
      <w:r w:rsidRPr="00B776C2">
        <w:t xml:space="preserve"> </w:t>
      </w:r>
      <w:r w:rsidRPr="00B776C2">
        <w:rPr>
          <w:rFonts w:ascii="Times New Roman" w:hAnsi="Times New Roman" w:cs="Times New Roman"/>
          <w:sz w:val="20"/>
          <w:szCs w:val="20"/>
        </w:rPr>
        <w:t xml:space="preserve">102074. </w:t>
      </w:r>
      <w:hyperlink r:id="rId23" w:history="1">
        <w:r w:rsidRPr="00B776C2">
          <w:rPr>
            <w:rStyle w:val="Hyperlink"/>
            <w:rFonts w:ascii="Times New Roman" w:hAnsi="Times New Roman" w:cs="Times New Roman"/>
            <w:sz w:val="20"/>
            <w:szCs w:val="20"/>
          </w:rPr>
          <w:t>https://doi.org/10.1016/j.joule.2025.102074</w:t>
        </w:r>
      </w:hyperlink>
      <w:r w:rsidRPr="00B776C2">
        <w:rPr>
          <w:rFonts w:ascii="Times New Roman" w:hAnsi="Times New Roman" w:cs="Times New Roman"/>
          <w:sz w:val="20"/>
          <w:szCs w:val="20"/>
        </w:rPr>
        <w:t xml:space="preserve"> </w:t>
      </w:r>
    </w:p>
    <w:p w14:paraId="4C70B0AA"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Cheng, B. (1998). </w:t>
      </w:r>
      <w:r w:rsidRPr="00B776C2">
        <w:rPr>
          <w:rFonts w:ascii="Times New Roman" w:hAnsi="Times New Roman" w:cs="Times New Roman"/>
          <w:i/>
          <w:iCs/>
          <w:sz w:val="20"/>
          <w:szCs w:val="20"/>
        </w:rPr>
        <w:t>Studies in International Space Law</w:t>
      </w:r>
      <w:r w:rsidRPr="00B776C2">
        <w:rPr>
          <w:rFonts w:ascii="Times New Roman" w:hAnsi="Times New Roman" w:cs="Times New Roman"/>
          <w:sz w:val="20"/>
          <w:szCs w:val="20"/>
        </w:rPr>
        <w:t>. Oxford University Press.</w:t>
      </w:r>
    </w:p>
    <w:p w14:paraId="1A365AE7"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Chrysaki, M. (2020). The sustainable commercialisation of space: The case for a voluntary code of conduct for the space industry. Space Policy, 52, 101375. </w:t>
      </w:r>
      <w:hyperlink r:id="rId24" w:history="1">
        <w:r w:rsidRPr="00B776C2">
          <w:rPr>
            <w:rStyle w:val="Hyperlink"/>
            <w:rFonts w:ascii="Times New Roman" w:hAnsi="Times New Roman" w:cs="Times New Roman"/>
            <w:sz w:val="20"/>
            <w:szCs w:val="20"/>
          </w:rPr>
          <w:t>https://doi.org/10.1016/j.spacepol.2020.101375</w:t>
        </w:r>
      </w:hyperlink>
      <w:r w:rsidRPr="00B776C2">
        <w:rPr>
          <w:rFonts w:ascii="Times New Roman" w:hAnsi="Times New Roman" w:cs="Times New Roman"/>
          <w:sz w:val="20"/>
          <w:szCs w:val="20"/>
        </w:rPr>
        <w:t xml:space="preserve"> </w:t>
      </w:r>
    </w:p>
    <w:p w14:paraId="324A0E09"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Couture, T., Cory, K., Kreycik, C., &amp; Williams, E. (2010). </w:t>
      </w:r>
      <w:r w:rsidRPr="00B776C2">
        <w:rPr>
          <w:rFonts w:ascii="Times New Roman" w:hAnsi="Times New Roman" w:cs="Times New Roman"/>
          <w:i/>
          <w:iCs/>
          <w:sz w:val="20"/>
          <w:szCs w:val="20"/>
        </w:rPr>
        <w:t>Policymaker’s Guide to Feed-In Tariff Policy Design</w:t>
      </w:r>
      <w:r w:rsidRPr="00B776C2">
        <w:rPr>
          <w:rFonts w:ascii="Times New Roman" w:hAnsi="Times New Roman" w:cs="Times New Roman"/>
          <w:sz w:val="20"/>
          <w:szCs w:val="20"/>
        </w:rPr>
        <w:t xml:space="preserve">. NREL. </w:t>
      </w:r>
      <w:hyperlink r:id="rId25" w:history="1">
        <w:r w:rsidRPr="00B776C2">
          <w:rPr>
            <w:rStyle w:val="Hyperlink"/>
            <w:rFonts w:ascii="Times New Roman" w:hAnsi="Times New Roman" w:cs="Times New Roman"/>
            <w:sz w:val="20"/>
            <w:szCs w:val="20"/>
          </w:rPr>
          <w:t>https://docs.nrel.gov/docs/fy10osti/44849.pdf</w:t>
        </w:r>
      </w:hyperlink>
      <w:r w:rsidRPr="00B776C2">
        <w:rPr>
          <w:rFonts w:ascii="Times New Roman" w:hAnsi="Times New Roman" w:cs="Times New Roman"/>
          <w:sz w:val="20"/>
          <w:szCs w:val="20"/>
        </w:rPr>
        <w:t xml:space="preserve"> (accessed Jan. 9</w:t>
      </w:r>
      <w:r w:rsidRPr="00B776C2">
        <w:rPr>
          <w:rFonts w:ascii="Times New Roman" w:hAnsi="Times New Roman" w:cs="Times New Roman"/>
          <w:sz w:val="20"/>
          <w:szCs w:val="20"/>
          <w:vertAlign w:val="superscript"/>
        </w:rPr>
        <w:t>th</w:t>
      </w:r>
      <w:r w:rsidRPr="00B776C2">
        <w:rPr>
          <w:rFonts w:ascii="Times New Roman" w:hAnsi="Times New Roman" w:cs="Times New Roman"/>
          <w:sz w:val="20"/>
          <w:szCs w:val="20"/>
        </w:rPr>
        <w:t>, 2026)</w:t>
      </w:r>
    </w:p>
    <w:p w14:paraId="5E0938FF"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del Río, P., &amp; Linares, P. (2014). Back to the future? Rethinking auctions for renewable electricity support. </w:t>
      </w:r>
      <w:r w:rsidRPr="00B776C2">
        <w:rPr>
          <w:rFonts w:ascii="Times New Roman" w:hAnsi="Times New Roman" w:cs="Times New Roman"/>
          <w:i/>
          <w:iCs/>
          <w:sz w:val="20"/>
          <w:szCs w:val="20"/>
        </w:rPr>
        <w:t>Renewable and Sustainable Energy Reviews</w:t>
      </w:r>
      <w:r w:rsidRPr="00B776C2">
        <w:rPr>
          <w:rFonts w:ascii="Times New Roman" w:hAnsi="Times New Roman" w:cs="Times New Roman"/>
          <w:sz w:val="20"/>
          <w:szCs w:val="20"/>
        </w:rPr>
        <w:t xml:space="preserve">, 35, 42–56. </w:t>
      </w:r>
      <w:hyperlink r:id="rId26" w:history="1">
        <w:r w:rsidRPr="00B776C2">
          <w:rPr>
            <w:rStyle w:val="Hyperlink"/>
            <w:rFonts w:ascii="Times New Roman" w:hAnsi="Times New Roman" w:cs="Times New Roman"/>
            <w:sz w:val="20"/>
            <w:szCs w:val="20"/>
          </w:rPr>
          <w:t>https://doi.org/10.1016/j.rser.2014.03.039</w:t>
        </w:r>
      </w:hyperlink>
      <w:r w:rsidRPr="00B776C2">
        <w:rPr>
          <w:rFonts w:ascii="Times New Roman" w:hAnsi="Times New Roman" w:cs="Times New Roman"/>
          <w:sz w:val="20"/>
          <w:szCs w:val="20"/>
        </w:rPr>
        <w:t xml:space="preserve"> </w:t>
      </w:r>
    </w:p>
    <w:p w14:paraId="22DC84A7"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Denholm, P., Hand, M., Jackson, M., &amp; Ong, S. (2009). Land-use requirements of modern wind power plants in the United States. National Renewable Energy Laboratory. </w:t>
      </w:r>
      <w:hyperlink r:id="rId27" w:history="1">
        <w:r w:rsidRPr="00B776C2">
          <w:rPr>
            <w:rStyle w:val="Hyperlink"/>
            <w:rFonts w:ascii="Times New Roman" w:hAnsi="Times New Roman" w:cs="Times New Roman"/>
            <w:sz w:val="20"/>
            <w:szCs w:val="20"/>
          </w:rPr>
          <w:t>https://docs.nrel.gov/docs/fy09osti/45834.pdf</w:t>
        </w:r>
      </w:hyperlink>
      <w:r w:rsidRPr="00B776C2">
        <w:rPr>
          <w:rFonts w:ascii="Times New Roman" w:hAnsi="Times New Roman" w:cs="Times New Roman"/>
          <w:sz w:val="20"/>
          <w:szCs w:val="20"/>
        </w:rPr>
        <w:t xml:space="preserve"> (accessed January 9, 2026).</w:t>
      </w:r>
    </w:p>
    <w:p w14:paraId="00D9B15F"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Department for Energy Security and Net Zero. (2023). UK shoots for the stars as space-based solar power prepares for lift off. GOV.UK. </w:t>
      </w:r>
      <w:hyperlink r:id="rId28" w:history="1">
        <w:r w:rsidRPr="00B776C2">
          <w:rPr>
            <w:rStyle w:val="Hyperlink"/>
            <w:rFonts w:ascii="Times New Roman" w:hAnsi="Times New Roman" w:cs="Times New Roman"/>
            <w:sz w:val="20"/>
            <w:szCs w:val="20"/>
          </w:rPr>
          <w:t>https://www.gov.uk/government/news/uk-shoots-for-the-stars-as-space-based-solar-power-prepares-for-lift-off</w:t>
        </w:r>
      </w:hyperlink>
      <w:r w:rsidRPr="00B776C2">
        <w:rPr>
          <w:rFonts w:ascii="Times New Roman" w:hAnsi="Times New Roman" w:cs="Times New Roman"/>
          <w:sz w:val="20"/>
          <w:szCs w:val="20"/>
        </w:rPr>
        <w:t xml:space="preserve"> (accessed Jan. 9</w:t>
      </w:r>
      <w:r w:rsidRPr="00B776C2">
        <w:rPr>
          <w:rFonts w:ascii="Times New Roman" w:hAnsi="Times New Roman" w:cs="Times New Roman"/>
          <w:sz w:val="20"/>
          <w:szCs w:val="20"/>
          <w:vertAlign w:val="superscript"/>
        </w:rPr>
        <w:t>th</w:t>
      </w:r>
      <w:r w:rsidRPr="00B776C2">
        <w:rPr>
          <w:rFonts w:ascii="Times New Roman" w:hAnsi="Times New Roman" w:cs="Times New Roman"/>
          <w:sz w:val="20"/>
          <w:szCs w:val="20"/>
        </w:rPr>
        <w:t>, 2026)</w:t>
      </w:r>
    </w:p>
    <w:p w14:paraId="3A762D8E"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de Zwart, M., Henderson, S., &amp; Neumann, M. (2023). Space resource activities and the evolution of international space law</w:t>
      </w:r>
      <w:r w:rsidRPr="00B776C2">
        <w:rPr>
          <w:rFonts w:ascii="Times New Roman" w:hAnsi="Times New Roman" w:cs="Times New Roman"/>
          <w:i/>
          <w:iCs/>
          <w:sz w:val="20"/>
          <w:szCs w:val="20"/>
        </w:rPr>
        <w:t>.</w:t>
      </w:r>
      <w:r w:rsidRPr="00B776C2">
        <w:rPr>
          <w:rFonts w:ascii="Times New Roman" w:hAnsi="Times New Roman" w:cs="Times New Roman"/>
          <w:sz w:val="20"/>
          <w:szCs w:val="20"/>
        </w:rPr>
        <w:t xml:space="preserve"> </w:t>
      </w:r>
      <w:r w:rsidRPr="00B776C2">
        <w:rPr>
          <w:rFonts w:ascii="Times New Roman" w:hAnsi="Times New Roman" w:cs="Times New Roman"/>
          <w:i/>
          <w:iCs/>
          <w:sz w:val="20"/>
          <w:szCs w:val="20"/>
        </w:rPr>
        <w:t>Acta Astronautica, 211</w:t>
      </w:r>
      <w:r w:rsidRPr="00B776C2">
        <w:rPr>
          <w:rFonts w:ascii="Times New Roman" w:hAnsi="Times New Roman" w:cs="Times New Roman"/>
          <w:sz w:val="20"/>
          <w:szCs w:val="20"/>
        </w:rPr>
        <w:t xml:space="preserve">, 155–162. </w:t>
      </w:r>
      <w:hyperlink r:id="rId29" w:history="1">
        <w:r w:rsidRPr="00B776C2">
          <w:rPr>
            <w:rStyle w:val="Hyperlink"/>
            <w:rFonts w:ascii="Times New Roman" w:hAnsi="Times New Roman" w:cs="Times New Roman"/>
            <w:sz w:val="20"/>
            <w:szCs w:val="20"/>
          </w:rPr>
          <w:t>https://doi.org/10.1016/j.actaastro.2023.06.009</w:t>
        </w:r>
      </w:hyperlink>
      <w:r w:rsidRPr="00B776C2">
        <w:rPr>
          <w:rFonts w:ascii="Times New Roman" w:hAnsi="Times New Roman" w:cs="Times New Roman"/>
          <w:sz w:val="20"/>
          <w:szCs w:val="20"/>
        </w:rPr>
        <w:t xml:space="preserve"> </w:t>
      </w:r>
    </w:p>
    <w:p w14:paraId="62BE6239" w14:textId="77777777" w:rsidR="0023192A"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Dolman, E. C. (2002). </w:t>
      </w:r>
      <w:r w:rsidRPr="00B776C2">
        <w:rPr>
          <w:rFonts w:ascii="Times New Roman" w:hAnsi="Times New Roman" w:cs="Times New Roman"/>
          <w:i/>
          <w:iCs/>
          <w:sz w:val="20"/>
          <w:szCs w:val="20"/>
        </w:rPr>
        <w:t>Astropolitik: Classical Geopolitics in the Space Age</w:t>
      </w:r>
      <w:r w:rsidRPr="00B776C2">
        <w:rPr>
          <w:rFonts w:ascii="Times New Roman" w:hAnsi="Times New Roman" w:cs="Times New Roman"/>
          <w:sz w:val="20"/>
          <w:szCs w:val="20"/>
        </w:rPr>
        <w:t>. Frank Cass.</w:t>
      </w:r>
    </w:p>
    <w:p w14:paraId="3FC3ED00" w14:textId="122222FC" w:rsidR="00FD3191" w:rsidRPr="00B776C2" w:rsidRDefault="00FD3191" w:rsidP="005E6D22">
      <w:pPr>
        <w:spacing w:line="240" w:lineRule="auto"/>
        <w:rPr>
          <w:rFonts w:ascii="Times New Roman" w:hAnsi="Times New Roman" w:cs="Times New Roman"/>
          <w:sz w:val="20"/>
          <w:szCs w:val="20"/>
        </w:rPr>
      </w:pPr>
      <w:r w:rsidRPr="00FD3191">
        <w:rPr>
          <w:rFonts w:ascii="Times New Roman" w:hAnsi="Times New Roman" w:cs="Times New Roman"/>
          <w:sz w:val="20"/>
          <w:szCs w:val="20"/>
        </w:rPr>
        <w:t xml:space="preserve">Driesen, D. M. (2008). Sustainable development and market liberalism’s shotgun wedding: Emissions trading under the Kyoto Protocol. </w:t>
      </w:r>
      <w:r w:rsidRPr="00FD3191">
        <w:rPr>
          <w:rFonts w:ascii="Times New Roman" w:hAnsi="Times New Roman" w:cs="Times New Roman"/>
          <w:i/>
          <w:iCs/>
          <w:sz w:val="20"/>
          <w:szCs w:val="20"/>
        </w:rPr>
        <w:t>Indiana Law Journal</w:t>
      </w:r>
      <w:r w:rsidRPr="00FD3191">
        <w:rPr>
          <w:rFonts w:ascii="Times New Roman" w:hAnsi="Times New Roman" w:cs="Times New Roman"/>
          <w:sz w:val="20"/>
          <w:szCs w:val="20"/>
        </w:rPr>
        <w:t>, 83(1), 21–36.</w:t>
      </w:r>
    </w:p>
    <w:p w14:paraId="3CCB0E82"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European Space Agency (ESA). (2022). SOLARIS: Preparing for space-based solar power. </w:t>
      </w:r>
      <w:r w:rsidRPr="00B776C2">
        <w:rPr>
          <w:rStyle w:val="Hyperlink"/>
          <w:rFonts w:ascii="Times New Roman" w:hAnsi="Times New Roman" w:cs="Times New Roman"/>
          <w:sz w:val="20"/>
          <w:szCs w:val="20"/>
        </w:rPr>
        <w:t xml:space="preserve">https://www.esa.int/ESA_Multimedia/Videos/2022/08/SOLARIS_Preparing_for_Space-Based_Solar_Power  </w:t>
      </w:r>
      <w:r w:rsidRPr="00B776C2">
        <w:rPr>
          <w:rFonts w:ascii="Times New Roman" w:hAnsi="Times New Roman" w:cs="Times New Roman"/>
          <w:sz w:val="20"/>
          <w:szCs w:val="20"/>
        </w:rPr>
        <w:t xml:space="preserve"> (accessed January 9, 2026).</w:t>
      </w:r>
    </w:p>
    <w:p w14:paraId="54F856FC" w14:textId="5F76B754"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European Space Agency</w:t>
      </w:r>
      <w:r w:rsidR="0055372C">
        <w:rPr>
          <w:rFonts w:ascii="Times New Roman" w:hAnsi="Times New Roman" w:cs="Times New Roman"/>
          <w:sz w:val="20"/>
          <w:szCs w:val="20"/>
        </w:rPr>
        <w:t xml:space="preserve"> (ESA)</w:t>
      </w:r>
      <w:r w:rsidRPr="00B776C2">
        <w:rPr>
          <w:rFonts w:ascii="Times New Roman" w:hAnsi="Times New Roman" w:cs="Times New Roman"/>
          <w:sz w:val="20"/>
          <w:szCs w:val="20"/>
        </w:rPr>
        <w:t xml:space="preserve">. (2024). ESA accelerates the race towards clean energy from space. </w:t>
      </w:r>
      <w:hyperlink r:id="rId30" w:history="1">
        <w:r w:rsidRPr="00B776C2">
          <w:rPr>
            <w:rStyle w:val="Hyperlink"/>
            <w:rFonts w:ascii="Times New Roman" w:hAnsi="Times New Roman" w:cs="Times New Roman"/>
            <w:sz w:val="20"/>
            <w:szCs w:val="20"/>
          </w:rPr>
          <w:t>https://www.esa.int/Space_in_Member_States/United_Kingdom/ESA_accelerates_the_race_towards_clean_energy_from_space</w:t>
        </w:r>
      </w:hyperlink>
      <w:r w:rsidRPr="00B776C2">
        <w:rPr>
          <w:rFonts w:ascii="Times New Roman" w:hAnsi="Times New Roman" w:cs="Times New Roman"/>
          <w:sz w:val="20"/>
          <w:szCs w:val="20"/>
        </w:rPr>
        <w:t xml:space="preserve"> (accessed January 9, 2026).</w:t>
      </w:r>
    </w:p>
    <w:p w14:paraId="562DDF82"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Flyvbjerg, B. (2009). Survival of the unfittest: Why the worst infrastructure gets built—and what we can do about it. </w:t>
      </w:r>
      <w:r w:rsidRPr="00B776C2">
        <w:rPr>
          <w:rFonts w:ascii="Times New Roman" w:hAnsi="Times New Roman" w:cs="Times New Roman"/>
          <w:i/>
          <w:iCs/>
          <w:sz w:val="20"/>
          <w:szCs w:val="20"/>
        </w:rPr>
        <w:t>Oxford Review of Economic Policy</w:t>
      </w:r>
      <w:r w:rsidRPr="00B776C2">
        <w:rPr>
          <w:rFonts w:ascii="Times New Roman" w:hAnsi="Times New Roman" w:cs="Times New Roman"/>
          <w:sz w:val="20"/>
          <w:szCs w:val="20"/>
        </w:rPr>
        <w:t xml:space="preserve">, 25(3), 344–367. </w:t>
      </w:r>
      <w:hyperlink r:id="rId31" w:history="1">
        <w:r w:rsidRPr="00B776C2">
          <w:rPr>
            <w:rStyle w:val="Hyperlink"/>
            <w:rFonts w:ascii="Times New Roman" w:hAnsi="Times New Roman" w:cs="Times New Roman"/>
            <w:sz w:val="20"/>
            <w:szCs w:val="20"/>
          </w:rPr>
          <w:t>https://doi.org/10.1093/oxrep/grp024</w:t>
        </w:r>
      </w:hyperlink>
      <w:r w:rsidRPr="00B776C2">
        <w:rPr>
          <w:rFonts w:ascii="Times New Roman" w:hAnsi="Times New Roman" w:cs="Times New Roman"/>
          <w:sz w:val="20"/>
          <w:szCs w:val="20"/>
        </w:rPr>
        <w:t xml:space="preserve"> </w:t>
      </w:r>
    </w:p>
    <w:p w14:paraId="38E44F86"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lastRenderedPageBreak/>
        <w:t xml:space="preserve">Glaser, P. E. (1968). Power from the Sun: Its future. </w:t>
      </w:r>
      <w:r w:rsidRPr="00B776C2">
        <w:rPr>
          <w:rFonts w:ascii="Times New Roman" w:hAnsi="Times New Roman" w:cs="Times New Roman"/>
          <w:i/>
          <w:iCs/>
          <w:sz w:val="20"/>
          <w:szCs w:val="20"/>
        </w:rPr>
        <w:t>Science</w:t>
      </w:r>
      <w:r w:rsidRPr="00B776C2">
        <w:rPr>
          <w:rFonts w:ascii="Times New Roman" w:hAnsi="Times New Roman" w:cs="Times New Roman"/>
          <w:sz w:val="20"/>
          <w:szCs w:val="20"/>
        </w:rPr>
        <w:t xml:space="preserve">, 162(3856), 857–861. </w:t>
      </w:r>
      <w:hyperlink r:id="rId32" w:history="1">
        <w:r w:rsidRPr="00B776C2">
          <w:rPr>
            <w:rStyle w:val="Hyperlink"/>
            <w:rFonts w:ascii="Times New Roman" w:hAnsi="Times New Roman" w:cs="Times New Roman"/>
            <w:sz w:val="20"/>
            <w:szCs w:val="20"/>
          </w:rPr>
          <w:t>https://doi.org/10.1126/science.162.3856.857</w:t>
        </w:r>
      </w:hyperlink>
      <w:r w:rsidRPr="00B776C2">
        <w:rPr>
          <w:rFonts w:ascii="Times New Roman" w:hAnsi="Times New Roman" w:cs="Times New Roman"/>
          <w:sz w:val="20"/>
          <w:szCs w:val="20"/>
        </w:rPr>
        <w:t xml:space="preserve"> </w:t>
      </w:r>
    </w:p>
    <w:p w14:paraId="29CBA498"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eastAsia="Times New Roman" w:hAnsi="Times New Roman" w:cs="Times New Roman"/>
          <w:sz w:val="20"/>
          <w:szCs w:val="20"/>
        </w:rPr>
        <w:t xml:space="preserve">Global Market Insights. (2024). Space-based solar power market size. </w:t>
      </w:r>
      <w:hyperlink r:id="rId33">
        <w:r w:rsidRPr="00B776C2">
          <w:rPr>
            <w:rStyle w:val="Hyperlink"/>
            <w:rFonts w:ascii="Times New Roman" w:eastAsia="Times New Roman" w:hAnsi="Times New Roman" w:cs="Times New Roman"/>
            <w:sz w:val="20"/>
            <w:szCs w:val="20"/>
          </w:rPr>
          <w:t>https://www.gminsights.com/industry-analysis/space-based-solar-power-market</w:t>
        </w:r>
      </w:hyperlink>
      <w:r w:rsidRPr="00B776C2">
        <w:t xml:space="preserve"> </w:t>
      </w:r>
      <w:r w:rsidRPr="00B776C2">
        <w:rPr>
          <w:rFonts w:ascii="Times New Roman" w:hAnsi="Times New Roman" w:cs="Times New Roman"/>
          <w:sz w:val="20"/>
          <w:szCs w:val="20"/>
        </w:rPr>
        <w:t>(accessed January 9, 2026).</w:t>
      </w:r>
    </w:p>
    <w:p w14:paraId="047617B1"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Goldthau, A., &amp; Sovacool, B. K. (2012). The uniqueness of the energy security, justice and governance problem. </w:t>
      </w:r>
      <w:r w:rsidRPr="00B776C2">
        <w:rPr>
          <w:rFonts w:ascii="Times New Roman" w:hAnsi="Times New Roman" w:cs="Times New Roman"/>
          <w:i/>
          <w:iCs/>
          <w:sz w:val="20"/>
          <w:szCs w:val="20"/>
        </w:rPr>
        <w:t>Energy Policy</w:t>
      </w:r>
      <w:r w:rsidRPr="00B776C2">
        <w:rPr>
          <w:rFonts w:ascii="Times New Roman" w:hAnsi="Times New Roman" w:cs="Times New Roman"/>
          <w:sz w:val="20"/>
          <w:szCs w:val="20"/>
        </w:rPr>
        <w:t xml:space="preserve">, 41, 232–240. </w:t>
      </w:r>
      <w:hyperlink r:id="rId34" w:history="1">
        <w:r w:rsidRPr="00B776C2">
          <w:rPr>
            <w:rStyle w:val="Hyperlink"/>
            <w:rFonts w:ascii="Times New Roman" w:hAnsi="Times New Roman" w:cs="Times New Roman"/>
            <w:sz w:val="20"/>
            <w:szCs w:val="20"/>
          </w:rPr>
          <w:t>https://doi.org/10.1016/j.enpol.2011.10.042</w:t>
        </w:r>
      </w:hyperlink>
      <w:r w:rsidRPr="00B776C2">
        <w:rPr>
          <w:rFonts w:ascii="Times New Roman" w:hAnsi="Times New Roman" w:cs="Times New Roman"/>
          <w:sz w:val="20"/>
          <w:szCs w:val="20"/>
        </w:rPr>
        <w:t xml:space="preserve"> </w:t>
      </w:r>
    </w:p>
    <w:p w14:paraId="417784D1"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Gustafsson, B. (1998). Scope and limits of the market mechanism in environmental management. </w:t>
      </w:r>
      <w:r w:rsidRPr="00B776C2">
        <w:rPr>
          <w:rFonts w:ascii="Times New Roman" w:hAnsi="Times New Roman" w:cs="Times New Roman"/>
          <w:i/>
          <w:iCs/>
          <w:sz w:val="20"/>
          <w:szCs w:val="20"/>
        </w:rPr>
        <w:t>Ecological Economics</w:t>
      </w:r>
      <w:r w:rsidRPr="00B776C2">
        <w:rPr>
          <w:rFonts w:ascii="Times New Roman" w:hAnsi="Times New Roman" w:cs="Times New Roman"/>
          <w:sz w:val="20"/>
          <w:szCs w:val="20"/>
        </w:rPr>
        <w:t xml:space="preserve">, 24(2–3), 259–274. </w:t>
      </w:r>
      <w:hyperlink r:id="rId35" w:history="1">
        <w:r w:rsidRPr="00B776C2">
          <w:rPr>
            <w:rStyle w:val="Hyperlink"/>
            <w:rFonts w:ascii="Times New Roman" w:hAnsi="Times New Roman" w:cs="Times New Roman"/>
            <w:sz w:val="20"/>
            <w:szCs w:val="20"/>
          </w:rPr>
          <w:t>https://doi.org/10.1016/S0921-8009(97)00147-X</w:t>
        </w:r>
      </w:hyperlink>
    </w:p>
    <w:p w14:paraId="212F2383"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Hajimiri, A., et al. (2023). Space solar power: From vision to demonstration. </w:t>
      </w:r>
      <w:r w:rsidRPr="00B776C2">
        <w:rPr>
          <w:rFonts w:ascii="Times New Roman" w:hAnsi="Times New Roman" w:cs="Times New Roman"/>
          <w:i/>
          <w:iCs/>
          <w:sz w:val="20"/>
          <w:szCs w:val="20"/>
        </w:rPr>
        <w:t>Proceedings of the IEEE</w:t>
      </w:r>
      <w:r w:rsidRPr="00B776C2">
        <w:rPr>
          <w:rFonts w:ascii="Times New Roman" w:hAnsi="Times New Roman" w:cs="Times New Roman"/>
          <w:sz w:val="20"/>
          <w:szCs w:val="20"/>
        </w:rPr>
        <w:t>, 111(1), 26–45.</w:t>
      </w:r>
    </w:p>
    <w:p w14:paraId="28722D69"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Hajimiri, A., Hashemi, H., Nicaise, S., &amp; Space Solar Power Project Team. (2023). Space solar power: From vision to demonstration. </w:t>
      </w:r>
      <w:r w:rsidRPr="00B776C2">
        <w:rPr>
          <w:rFonts w:ascii="Times New Roman" w:hAnsi="Times New Roman" w:cs="Times New Roman"/>
          <w:i/>
          <w:iCs/>
          <w:sz w:val="20"/>
          <w:szCs w:val="20"/>
        </w:rPr>
        <w:t>Proceedings of the IEEE</w:t>
      </w:r>
      <w:r w:rsidRPr="00B776C2">
        <w:rPr>
          <w:rFonts w:ascii="Times New Roman" w:hAnsi="Times New Roman" w:cs="Times New Roman"/>
          <w:sz w:val="20"/>
          <w:szCs w:val="20"/>
        </w:rPr>
        <w:t xml:space="preserve">, 111(1), 26–45. </w:t>
      </w:r>
      <w:hyperlink r:id="rId36" w:history="1">
        <w:r w:rsidRPr="00B776C2">
          <w:rPr>
            <w:rStyle w:val="Hyperlink"/>
            <w:rFonts w:ascii="Times New Roman" w:hAnsi="Times New Roman" w:cs="Times New Roman"/>
            <w:sz w:val="20"/>
            <w:szCs w:val="20"/>
          </w:rPr>
          <w:t>https://doi.org/10.1109/JPROC.2022.3203620</w:t>
        </w:r>
      </w:hyperlink>
      <w:r w:rsidRPr="00B776C2">
        <w:rPr>
          <w:rFonts w:ascii="Times New Roman" w:hAnsi="Times New Roman" w:cs="Times New Roman"/>
          <w:sz w:val="20"/>
          <w:szCs w:val="20"/>
        </w:rPr>
        <w:t xml:space="preserve"> </w:t>
      </w:r>
    </w:p>
    <w:p w14:paraId="3F44E04C"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Hobe, S., Schmidt-Tedd, B., &amp; Schrogl, K.-U. (2015). </w:t>
      </w:r>
      <w:r w:rsidRPr="00B776C2">
        <w:rPr>
          <w:rFonts w:ascii="Times New Roman" w:hAnsi="Times New Roman" w:cs="Times New Roman"/>
          <w:i/>
          <w:iCs/>
          <w:sz w:val="20"/>
          <w:szCs w:val="20"/>
        </w:rPr>
        <w:t>Cologne Commentary on Space Law</w:t>
      </w:r>
      <w:r w:rsidRPr="00B776C2">
        <w:rPr>
          <w:rFonts w:ascii="Times New Roman" w:hAnsi="Times New Roman" w:cs="Times New Roman"/>
          <w:sz w:val="20"/>
          <w:szCs w:val="20"/>
        </w:rPr>
        <w:t>: Volume II – Rescue, liability, registration, and traffic. Carl Heymanns.</w:t>
      </w:r>
    </w:p>
    <w:p w14:paraId="505DA491"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Holmes, M. (2025). Space Solar completes design study for CASSIOPeiA satellite. Satellite Today. </w:t>
      </w:r>
      <w:hyperlink r:id="rId37" w:history="1">
        <w:r w:rsidRPr="00B776C2">
          <w:rPr>
            <w:rStyle w:val="Hyperlink"/>
            <w:rFonts w:ascii="Times New Roman" w:hAnsi="Times New Roman" w:cs="Times New Roman"/>
            <w:sz w:val="20"/>
            <w:szCs w:val="20"/>
          </w:rPr>
          <w:t>https://www.satellitetoday.com/space-economy/2025/04/28/space-solar-completes-design-study-for-cassiopeia-satellite/</w:t>
        </w:r>
      </w:hyperlink>
      <w:r w:rsidRPr="00B776C2">
        <w:rPr>
          <w:rFonts w:ascii="Times New Roman" w:hAnsi="Times New Roman" w:cs="Times New Roman"/>
          <w:sz w:val="20"/>
          <w:szCs w:val="20"/>
        </w:rPr>
        <w:t xml:space="preserve"> (accessed Jan. 9</w:t>
      </w:r>
      <w:r w:rsidRPr="00B776C2">
        <w:rPr>
          <w:rFonts w:ascii="Times New Roman" w:hAnsi="Times New Roman" w:cs="Times New Roman"/>
          <w:sz w:val="20"/>
          <w:szCs w:val="20"/>
          <w:vertAlign w:val="superscript"/>
        </w:rPr>
        <w:t>th</w:t>
      </w:r>
      <w:r w:rsidRPr="00B776C2">
        <w:rPr>
          <w:rFonts w:ascii="Times New Roman" w:hAnsi="Times New Roman" w:cs="Times New Roman"/>
          <w:sz w:val="20"/>
          <w:szCs w:val="20"/>
        </w:rPr>
        <w:t>, 2026)</w:t>
      </w:r>
    </w:p>
    <w:p w14:paraId="337F2A2A"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Hou, X., Zhou, L., Huang, X., Dong, S., &amp; Shi, D. (2025). GEO high power WPT demonstration mission: The proposed second step to develop space solar power. </w:t>
      </w:r>
      <w:r w:rsidRPr="00B776C2">
        <w:rPr>
          <w:rFonts w:ascii="Times New Roman" w:hAnsi="Times New Roman" w:cs="Times New Roman"/>
          <w:i/>
          <w:iCs/>
          <w:sz w:val="20"/>
          <w:szCs w:val="20"/>
        </w:rPr>
        <w:t>Space Solar Power and Wireless Transmission</w:t>
      </w:r>
      <w:r w:rsidRPr="00B776C2">
        <w:rPr>
          <w:rFonts w:ascii="Times New Roman" w:hAnsi="Times New Roman" w:cs="Times New Roman"/>
          <w:sz w:val="20"/>
          <w:szCs w:val="20"/>
        </w:rPr>
        <w:t xml:space="preserve">, 2(4), 198–206. </w:t>
      </w:r>
      <w:hyperlink r:id="rId38" w:history="1">
        <w:r w:rsidRPr="00B776C2">
          <w:rPr>
            <w:rStyle w:val="Hyperlink"/>
            <w:rFonts w:ascii="Times New Roman" w:hAnsi="Times New Roman" w:cs="Times New Roman"/>
            <w:sz w:val="20"/>
            <w:szCs w:val="20"/>
          </w:rPr>
          <w:t>https://doi.org/10.1016/j.sspwt.2025.11.006</w:t>
        </w:r>
      </w:hyperlink>
      <w:r w:rsidRPr="00B776C2">
        <w:rPr>
          <w:rFonts w:ascii="Times New Roman" w:hAnsi="Times New Roman" w:cs="Times New Roman"/>
          <w:sz w:val="20"/>
          <w:szCs w:val="20"/>
        </w:rPr>
        <w:t xml:space="preserve"> </w:t>
      </w:r>
    </w:p>
    <w:p w14:paraId="30815EC8"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Howlett, M., Vince, J. &amp; Del Rio, P. (2017). Policy integration and multi-level governance: Dealing with the vertical dimension of policy mix designs. </w:t>
      </w:r>
      <w:r w:rsidRPr="00B776C2">
        <w:rPr>
          <w:rFonts w:ascii="Times New Roman" w:hAnsi="Times New Roman" w:cs="Times New Roman"/>
          <w:i/>
          <w:iCs/>
          <w:sz w:val="20"/>
          <w:szCs w:val="20"/>
        </w:rPr>
        <w:t>Politics and Governance</w:t>
      </w:r>
      <w:r w:rsidRPr="00B776C2">
        <w:rPr>
          <w:rFonts w:ascii="Times New Roman" w:hAnsi="Times New Roman" w:cs="Times New Roman"/>
          <w:sz w:val="20"/>
          <w:szCs w:val="20"/>
        </w:rPr>
        <w:t xml:space="preserve">. 5. 69-78. 10.17645/pag.v5i2.928. </w:t>
      </w:r>
    </w:p>
    <w:p w14:paraId="6E1DEA1B"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International Energy Agency (IEA). (2023). World energy outlook 2023. IEA.</w:t>
      </w:r>
      <w:r w:rsidRPr="00B776C2">
        <w:t xml:space="preserve"> </w:t>
      </w:r>
      <w:hyperlink r:id="rId39" w:history="1">
        <w:r w:rsidRPr="00B776C2">
          <w:rPr>
            <w:rStyle w:val="Hyperlink"/>
            <w:rFonts w:ascii="Times New Roman" w:hAnsi="Times New Roman" w:cs="Times New Roman"/>
            <w:sz w:val="20"/>
            <w:szCs w:val="20"/>
          </w:rPr>
          <w:t>https://www.iea.org/reports/world-energy-outlook-2023</w:t>
        </w:r>
      </w:hyperlink>
      <w:r w:rsidRPr="00B776C2">
        <w:rPr>
          <w:rFonts w:ascii="Times New Roman" w:hAnsi="Times New Roman" w:cs="Times New Roman"/>
          <w:sz w:val="20"/>
          <w:szCs w:val="20"/>
        </w:rPr>
        <w:t xml:space="preserve"> (accessed January 9, 2026).</w:t>
      </w:r>
    </w:p>
    <w:p w14:paraId="0CAB0AA5"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International Renewable Energy Agency. (2022). Renewable power generation costs in 2022. IRENA.</w:t>
      </w:r>
      <w:r w:rsidRPr="00B776C2">
        <w:t xml:space="preserve"> </w:t>
      </w:r>
      <w:hyperlink r:id="rId40" w:history="1">
        <w:r w:rsidRPr="00B776C2">
          <w:rPr>
            <w:rStyle w:val="Hyperlink"/>
            <w:rFonts w:ascii="Times New Roman" w:hAnsi="Times New Roman" w:cs="Times New Roman"/>
            <w:sz w:val="20"/>
            <w:szCs w:val="20"/>
          </w:rPr>
          <w:t>https://www.irena.org/Publications/2023/Aug/Renewable-Power-Generation-Costs-in-2022</w:t>
        </w:r>
      </w:hyperlink>
      <w:r w:rsidRPr="00B776C2">
        <w:rPr>
          <w:rFonts w:ascii="Times New Roman" w:hAnsi="Times New Roman" w:cs="Times New Roman"/>
          <w:sz w:val="20"/>
          <w:szCs w:val="20"/>
        </w:rPr>
        <w:t xml:space="preserve"> (accessed January 9, 2026).</w:t>
      </w:r>
    </w:p>
    <w:p w14:paraId="18C400BC"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Institute of Electrical and Electronics Engineers (IEEE). (2018). </w:t>
      </w:r>
      <w:r w:rsidRPr="00B776C2">
        <w:rPr>
          <w:rFonts w:ascii="Times New Roman" w:hAnsi="Times New Roman" w:cs="Times New Roman"/>
          <w:i/>
          <w:iCs/>
          <w:sz w:val="20"/>
          <w:szCs w:val="20"/>
        </w:rPr>
        <w:t>IEEE Standard for interconnection and interoperability of distributed energy resources with associated electric power systems interfaces</w:t>
      </w:r>
      <w:r w:rsidRPr="00B776C2">
        <w:rPr>
          <w:rFonts w:ascii="Times New Roman" w:hAnsi="Times New Roman" w:cs="Times New Roman"/>
          <w:sz w:val="20"/>
          <w:szCs w:val="20"/>
        </w:rPr>
        <w:t xml:space="preserve"> (IEEE Std 1547-2018). IEEE. </w:t>
      </w:r>
      <w:hyperlink r:id="rId41" w:history="1">
        <w:r w:rsidRPr="00B776C2">
          <w:rPr>
            <w:rStyle w:val="Hyperlink"/>
            <w:rFonts w:ascii="Times New Roman" w:hAnsi="Times New Roman" w:cs="Times New Roman"/>
            <w:sz w:val="20"/>
            <w:szCs w:val="20"/>
          </w:rPr>
          <w:t>https://doi.org/10.1109/IEEESTD.2018.8332112</w:t>
        </w:r>
      </w:hyperlink>
      <w:r w:rsidRPr="00B776C2">
        <w:rPr>
          <w:rFonts w:ascii="Times New Roman" w:hAnsi="Times New Roman" w:cs="Times New Roman"/>
          <w:sz w:val="20"/>
          <w:szCs w:val="20"/>
        </w:rPr>
        <w:t xml:space="preserve"> </w:t>
      </w:r>
    </w:p>
    <w:p w14:paraId="325CE6E4" w14:textId="77777777" w:rsidR="0023192A" w:rsidRPr="00B776C2" w:rsidRDefault="0023192A" w:rsidP="005E6D22">
      <w:pPr>
        <w:spacing w:line="240" w:lineRule="auto"/>
        <w:rPr>
          <w:rFonts w:ascii="Times New Roman" w:hAnsi="Times New Roman" w:cs="Times New Roman"/>
          <w:sz w:val="20"/>
          <w:szCs w:val="20"/>
        </w:rPr>
      </w:pPr>
      <w:bookmarkStart w:id="0" w:name="_Hlk219207566"/>
      <w:r w:rsidRPr="00B776C2">
        <w:rPr>
          <w:rFonts w:ascii="Times New Roman" w:hAnsi="Times New Roman" w:cs="Times New Roman"/>
          <w:sz w:val="20"/>
          <w:szCs w:val="20"/>
        </w:rPr>
        <w:t xml:space="preserve">Italian Institute for International Political Studies </w:t>
      </w:r>
      <w:bookmarkEnd w:id="0"/>
      <w:r w:rsidRPr="00B776C2">
        <w:rPr>
          <w:rFonts w:ascii="Times New Roman" w:hAnsi="Times New Roman" w:cs="Times New Roman"/>
          <w:sz w:val="20"/>
          <w:szCs w:val="20"/>
        </w:rPr>
        <w:t xml:space="preserve">(ISPI). (2025). The space-based solar power systems: State of the art and implications. </w:t>
      </w:r>
      <w:hyperlink r:id="rId42" w:history="1">
        <w:r w:rsidRPr="00B776C2">
          <w:rPr>
            <w:rStyle w:val="Hyperlink"/>
            <w:rFonts w:ascii="Times New Roman" w:hAnsi="Times New Roman" w:cs="Times New Roman"/>
            <w:sz w:val="20"/>
            <w:szCs w:val="20"/>
          </w:rPr>
          <w:t>https://www.ispionline.it/en/publication/the-space-based-solar-power-systems-state-of-the-art-and-implications-183944</w:t>
        </w:r>
      </w:hyperlink>
      <w:r w:rsidRPr="00B776C2">
        <w:rPr>
          <w:rFonts w:ascii="Times New Roman" w:hAnsi="Times New Roman" w:cs="Times New Roman"/>
          <w:sz w:val="20"/>
          <w:szCs w:val="20"/>
        </w:rPr>
        <w:t xml:space="preserve"> (accessed Jan. 9</w:t>
      </w:r>
      <w:r w:rsidRPr="00B776C2">
        <w:rPr>
          <w:rFonts w:ascii="Times New Roman" w:hAnsi="Times New Roman" w:cs="Times New Roman"/>
          <w:sz w:val="20"/>
          <w:szCs w:val="20"/>
          <w:vertAlign w:val="superscript"/>
        </w:rPr>
        <w:t>th</w:t>
      </w:r>
      <w:r w:rsidRPr="00B776C2">
        <w:rPr>
          <w:rFonts w:ascii="Times New Roman" w:hAnsi="Times New Roman" w:cs="Times New Roman"/>
          <w:sz w:val="20"/>
          <w:szCs w:val="20"/>
        </w:rPr>
        <w:t>, 2026)</w:t>
      </w:r>
    </w:p>
    <w:p w14:paraId="31129451"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Jakhu, R., &amp; Pelton, J. N. (2017). </w:t>
      </w:r>
      <w:r w:rsidRPr="00B776C2">
        <w:rPr>
          <w:rFonts w:ascii="Times New Roman" w:hAnsi="Times New Roman" w:cs="Times New Roman"/>
          <w:i/>
          <w:iCs/>
          <w:sz w:val="20"/>
          <w:szCs w:val="20"/>
        </w:rPr>
        <w:t>Global Space Governance: An International Study</w:t>
      </w:r>
      <w:r w:rsidRPr="00B776C2">
        <w:rPr>
          <w:rFonts w:ascii="Times New Roman" w:hAnsi="Times New Roman" w:cs="Times New Roman"/>
          <w:sz w:val="20"/>
          <w:szCs w:val="20"/>
        </w:rPr>
        <w:t xml:space="preserve">. Springer. </w:t>
      </w:r>
      <w:hyperlink r:id="rId43" w:history="1">
        <w:r w:rsidRPr="00B776C2">
          <w:rPr>
            <w:rStyle w:val="Hyperlink"/>
            <w:rFonts w:ascii="Times New Roman" w:hAnsi="Times New Roman" w:cs="Times New Roman"/>
            <w:sz w:val="20"/>
            <w:szCs w:val="20"/>
          </w:rPr>
          <w:t>https://doi.org/10.1007/978-3-319-54364-2</w:t>
        </w:r>
      </w:hyperlink>
      <w:r w:rsidRPr="00B776C2">
        <w:rPr>
          <w:rFonts w:ascii="Times New Roman" w:hAnsi="Times New Roman" w:cs="Times New Roman"/>
          <w:sz w:val="20"/>
          <w:szCs w:val="20"/>
        </w:rPr>
        <w:t xml:space="preserve"> </w:t>
      </w:r>
    </w:p>
    <w:p w14:paraId="30D0B8F3"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Jasanoff, S. (2004). </w:t>
      </w:r>
      <w:r w:rsidRPr="00B776C2">
        <w:rPr>
          <w:rFonts w:ascii="Times New Roman" w:hAnsi="Times New Roman" w:cs="Times New Roman"/>
          <w:i/>
          <w:iCs/>
          <w:sz w:val="20"/>
          <w:szCs w:val="20"/>
        </w:rPr>
        <w:t>States of Knowledge: The Co-Production of Science and Social Order</w:t>
      </w:r>
      <w:r w:rsidRPr="00B776C2">
        <w:rPr>
          <w:rFonts w:ascii="Times New Roman" w:hAnsi="Times New Roman" w:cs="Times New Roman"/>
          <w:sz w:val="20"/>
          <w:szCs w:val="20"/>
        </w:rPr>
        <w:t>. Routledge.</w:t>
      </w:r>
    </w:p>
    <w:p w14:paraId="52540DBB"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Johnson-Freese, J. (2017). </w:t>
      </w:r>
      <w:r w:rsidRPr="00B776C2">
        <w:rPr>
          <w:rFonts w:ascii="Times New Roman" w:hAnsi="Times New Roman" w:cs="Times New Roman"/>
          <w:i/>
          <w:iCs/>
          <w:sz w:val="20"/>
          <w:szCs w:val="20"/>
        </w:rPr>
        <w:t>Space As a Strategic Asset</w:t>
      </w:r>
      <w:r w:rsidRPr="00B776C2">
        <w:rPr>
          <w:rFonts w:ascii="Times New Roman" w:hAnsi="Times New Roman" w:cs="Times New Roman"/>
          <w:sz w:val="20"/>
          <w:szCs w:val="20"/>
        </w:rPr>
        <w:t>. Columbia University Press.</w:t>
      </w:r>
    </w:p>
    <w:p w14:paraId="7D9F9566" w14:textId="11FDC3B5"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Jordan, A., &amp; Matt, E. (2014). Designing policies that intentionally stick: Policy feedback in a changing climate. </w:t>
      </w:r>
      <w:r w:rsidRPr="00B776C2">
        <w:rPr>
          <w:rFonts w:ascii="Times New Roman" w:hAnsi="Times New Roman" w:cs="Times New Roman"/>
          <w:i/>
          <w:iCs/>
          <w:sz w:val="20"/>
          <w:szCs w:val="20"/>
        </w:rPr>
        <w:t>Policy Sciences</w:t>
      </w:r>
      <w:r w:rsidRPr="00B776C2">
        <w:rPr>
          <w:rFonts w:ascii="Times New Roman" w:hAnsi="Times New Roman" w:cs="Times New Roman"/>
          <w:sz w:val="20"/>
          <w:szCs w:val="20"/>
        </w:rPr>
        <w:t xml:space="preserve">, 47(3), 227–247. </w:t>
      </w:r>
      <w:hyperlink r:id="rId44" w:history="1">
        <w:r w:rsidR="00E1665A" w:rsidRPr="00EA4AC5">
          <w:rPr>
            <w:rStyle w:val="Hyperlink"/>
            <w:rFonts w:ascii="Times New Roman" w:hAnsi="Times New Roman" w:cs="Times New Roman"/>
            <w:sz w:val="20"/>
            <w:szCs w:val="20"/>
          </w:rPr>
          <w:t>https://doi.org/10.1007/s11077-014-9201-x</w:t>
        </w:r>
      </w:hyperlink>
      <w:r w:rsidR="00E1665A">
        <w:rPr>
          <w:rFonts w:ascii="Times New Roman" w:hAnsi="Times New Roman" w:cs="Times New Roman"/>
          <w:sz w:val="20"/>
          <w:szCs w:val="20"/>
        </w:rPr>
        <w:t xml:space="preserve"> </w:t>
      </w:r>
      <w:r w:rsidRPr="00B776C2">
        <w:rPr>
          <w:rFonts w:ascii="Times New Roman" w:hAnsi="Times New Roman" w:cs="Times New Roman"/>
          <w:sz w:val="20"/>
          <w:szCs w:val="20"/>
        </w:rPr>
        <w:t xml:space="preserve"> </w:t>
      </w:r>
    </w:p>
    <w:p w14:paraId="0E7A482F" w14:textId="6EC2CEB1" w:rsidR="002719DE" w:rsidRDefault="002719DE" w:rsidP="005E6D22">
      <w:pPr>
        <w:spacing w:line="240" w:lineRule="auto"/>
        <w:rPr>
          <w:rFonts w:ascii="Times New Roman" w:hAnsi="Times New Roman" w:cs="Times New Roman"/>
          <w:sz w:val="20"/>
          <w:szCs w:val="20"/>
        </w:rPr>
      </w:pPr>
      <w:r w:rsidRPr="002719DE">
        <w:rPr>
          <w:rFonts w:ascii="Times New Roman" w:hAnsi="Times New Roman" w:cs="Times New Roman"/>
          <w:sz w:val="20"/>
          <w:szCs w:val="20"/>
        </w:rPr>
        <w:t xml:space="preserve">Kessler, D. J., &amp; Cour-Palais, B. G. (1978). Collision frequency of artificial satellites: The creation of a debris belt. </w:t>
      </w:r>
      <w:r w:rsidRPr="002719DE">
        <w:rPr>
          <w:rFonts w:ascii="Times New Roman" w:hAnsi="Times New Roman" w:cs="Times New Roman"/>
          <w:i/>
          <w:iCs/>
          <w:sz w:val="20"/>
          <w:szCs w:val="20"/>
        </w:rPr>
        <w:t>Journal of Geophysical Research</w:t>
      </w:r>
      <w:r w:rsidRPr="002719DE">
        <w:rPr>
          <w:rFonts w:ascii="Times New Roman" w:hAnsi="Times New Roman" w:cs="Times New Roman"/>
          <w:sz w:val="20"/>
          <w:szCs w:val="20"/>
        </w:rPr>
        <w:t xml:space="preserve">, 83(A6), 2637–2646. </w:t>
      </w:r>
      <w:hyperlink r:id="rId45" w:history="1">
        <w:r w:rsidRPr="00EA4AC5">
          <w:rPr>
            <w:rStyle w:val="Hyperlink"/>
            <w:rFonts w:ascii="Times New Roman" w:hAnsi="Times New Roman" w:cs="Times New Roman"/>
            <w:sz w:val="20"/>
            <w:szCs w:val="20"/>
          </w:rPr>
          <w:t>https://doi.org/10.1029/JA083iA06p02637</w:t>
        </w:r>
      </w:hyperlink>
      <w:r>
        <w:rPr>
          <w:rFonts w:ascii="Times New Roman" w:hAnsi="Times New Roman" w:cs="Times New Roman"/>
          <w:sz w:val="20"/>
          <w:szCs w:val="20"/>
        </w:rPr>
        <w:t xml:space="preserve"> </w:t>
      </w:r>
    </w:p>
    <w:p w14:paraId="6E335B6B" w14:textId="156994B3"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Krasner, S. D. (1999). </w:t>
      </w:r>
      <w:r w:rsidRPr="00B776C2">
        <w:rPr>
          <w:rFonts w:ascii="Times New Roman" w:hAnsi="Times New Roman" w:cs="Times New Roman"/>
          <w:i/>
          <w:iCs/>
          <w:sz w:val="20"/>
          <w:szCs w:val="20"/>
        </w:rPr>
        <w:t>Sovereignty: Organized Hypocrisy</w:t>
      </w:r>
      <w:r w:rsidRPr="00B776C2">
        <w:rPr>
          <w:rFonts w:ascii="Times New Roman" w:hAnsi="Times New Roman" w:cs="Times New Roman"/>
          <w:sz w:val="20"/>
          <w:szCs w:val="20"/>
        </w:rPr>
        <w:t>. Princeton University Press.</w:t>
      </w:r>
    </w:p>
    <w:p w14:paraId="43471154" w14:textId="77777777" w:rsidR="0023192A"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lastRenderedPageBreak/>
        <w:t xml:space="preserve">Live Science. (2025). China plans to build enormous solar array in space — and it could collect more energy in a year than 'all the oil on Earth'. </w:t>
      </w:r>
      <w:hyperlink r:id="rId46" w:history="1">
        <w:r w:rsidRPr="00B776C2">
          <w:rPr>
            <w:rStyle w:val="Hyperlink"/>
            <w:rFonts w:ascii="Times New Roman" w:hAnsi="Times New Roman" w:cs="Times New Roman"/>
            <w:sz w:val="20"/>
            <w:szCs w:val="20"/>
          </w:rPr>
          <w:t>https://www.livescience.com/space/space-exploration/china-plans-to-build-enormous-solar-array-in-space-and-it-could-collect-more-energy-in-a-year-than-all-the-oil-on-earth</w:t>
        </w:r>
      </w:hyperlink>
      <w:r w:rsidRPr="00B776C2">
        <w:rPr>
          <w:rFonts w:ascii="Times New Roman" w:hAnsi="Times New Roman" w:cs="Times New Roman"/>
          <w:sz w:val="20"/>
          <w:szCs w:val="20"/>
        </w:rPr>
        <w:t xml:space="preserve">  (accessed Jan. 9</w:t>
      </w:r>
      <w:r w:rsidRPr="00B776C2">
        <w:rPr>
          <w:rFonts w:ascii="Times New Roman" w:hAnsi="Times New Roman" w:cs="Times New Roman"/>
          <w:sz w:val="20"/>
          <w:szCs w:val="20"/>
          <w:vertAlign w:val="superscript"/>
        </w:rPr>
        <w:t>th</w:t>
      </w:r>
      <w:r w:rsidRPr="00B776C2">
        <w:rPr>
          <w:rFonts w:ascii="Times New Roman" w:hAnsi="Times New Roman" w:cs="Times New Roman"/>
          <w:sz w:val="20"/>
          <w:szCs w:val="20"/>
        </w:rPr>
        <w:t>, 2026)</w:t>
      </w:r>
    </w:p>
    <w:p w14:paraId="19C81A1D" w14:textId="4C8C1303" w:rsidR="00644BD6" w:rsidRPr="00B776C2" w:rsidRDefault="00644BD6" w:rsidP="005E6D22">
      <w:pPr>
        <w:spacing w:line="240" w:lineRule="auto"/>
        <w:rPr>
          <w:rFonts w:ascii="Times New Roman" w:hAnsi="Times New Roman" w:cs="Times New Roman"/>
          <w:sz w:val="20"/>
          <w:szCs w:val="20"/>
        </w:rPr>
      </w:pPr>
      <w:r w:rsidRPr="00644BD6">
        <w:rPr>
          <w:rFonts w:ascii="Times New Roman" w:hAnsi="Times New Roman" w:cs="Times New Roman"/>
          <w:sz w:val="20"/>
          <w:szCs w:val="20"/>
        </w:rPr>
        <w:t xml:space="preserve">Mahoney, J., &amp; Thelen, K. (2010). </w:t>
      </w:r>
      <w:r w:rsidRPr="00644BD6">
        <w:rPr>
          <w:rFonts w:ascii="Times New Roman" w:hAnsi="Times New Roman" w:cs="Times New Roman"/>
          <w:i/>
          <w:iCs/>
          <w:sz w:val="20"/>
          <w:szCs w:val="20"/>
        </w:rPr>
        <w:t>Explaining Institutional Change: Ambiguity, Agency, and Power</w:t>
      </w:r>
      <w:r w:rsidRPr="00644BD6">
        <w:rPr>
          <w:rFonts w:ascii="Times New Roman" w:hAnsi="Times New Roman" w:cs="Times New Roman"/>
          <w:sz w:val="20"/>
          <w:szCs w:val="20"/>
        </w:rPr>
        <w:t>. Cambridge University Press.</w:t>
      </w:r>
    </w:p>
    <w:p w14:paraId="1870AE4B"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Mankins, J. C. (2014). </w:t>
      </w:r>
      <w:r w:rsidRPr="00B776C2">
        <w:rPr>
          <w:rFonts w:ascii="Times New Roman" w:hAnsi="Times New Roman" w:cs="Times New Roman"/>
          <w:i/>
          <w:iCs/>
          <w:sz w:val="20"/>
          <w:szCs w:val="20"/>
        </w:rPr>
        <w:t>The Case for Space Solar Power</w:t>
      </w:r>
      <w:r w:rsidRPr="00B776C2">
        <w:rPr>
          <w:rFonts w:ascii="Times New Roman" w:hAnsi="Times New Roman" w:cs="Times New Roman"/>
          <w:sz w:val="20"/>
          <w:szCs w:val="20"/>
        </w:rPr>
        <w:t>. Virginia Edition Publishing.</w:t>
      </w:r>
    </w:p>
    <w:p w14:paraId="35DB2081"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March, J. G., &amp; Olsen, J. P. (1989). </w:t>
      </w:r>
      <w:r w:rsidRPr="00B776C2">
        <w:rPr>
          <w:rFonts w:ascii="Times New Roman" w:hAnsi="Times New Roman" w:cs="Times New Roman"/>
          <w:i/>
          <w:iCs/>
          <w:sz w:val="20"/>
          <w:szCs w:val="20"/>
        </w:rPr>
        <w:t>Rediscovering Institutions: The Organizational Basis of Politics</w:t>
      </w:r>
      <w:r w:rsidRPr="00B776C2">
        <w:rPr>
          <w:rFonts w:ascii="Times New Roman" w:hAnsi="Times New Roman" w:cs="Times New Roman"/>
          <w:sz w:val="20"/>
          <w:szCs w:val="20"/>
        </w:rPr>
        <w:t>. Free Press.</w:t>
      </w:r>
    </w:p>
    <w:p w14:paraId="327AC39D"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Mazzucato, M. (2013). </w:t>
      </w:r>
      <w:r w:rsidRPr="00B776C2">
        <w:rPr>
          <w:rFonts w:ascii="Times New Roman" w:hAnsi="Times New Roman" w:cs="Times New Roman"/>
          <w:i/>
          <w:iCs/>
          <w:sz w:val="20"/>
          <w:szCs w:val="20"/>
        </w:rPr>
        <w:t>The Entrepreneurial State: Debunking Public Vs. Private Sector Myths</w:t>
      </w:r>
      <w:r w:rsidRPr="00B776C2">
        <w:rPr>
          <w:rFonts w:ascii="Times New Roman" w:hAnsi="Times New Roman" w:cs="Times New Roman"/>
          <w:sz w:val="20"/>
          <w:szCs w:val="20"/>
        </w:rPr>
        <w:t>. Anthem Press.</w:t>
      </w:r>
    </w:p>
    <w:p w14:paraId="2AAF3434" w14:textId="77777777" w:rsidR="0023192A" w:rsidRPr="00B776C2" w:rsidRDefault="0023192A" w:rsidP="005E6D22">
      <w:pPr>
        <w:spacing w:line="240" w:lineRule="auto"/>
        <w:rPr>
          <w:rFonts w:ascii="Times New Roman" w:hAnsi="Times New Roman" w:cs="Times New Roman"/>
          <w:sz w:val="20"/>
          <w:szCs w:val="20"/>
        </w:rPr>
      </w:pPr>
      <w:bookmarkStart w:id="1" w:name="_Hlk218866184"/>
      <w:r w:rsidRPr="00B776C2">
        <w:rPr>
          <w:rFonts w:ascii="Times New Roman" w:hAnsi="Times New Roman" w:cs="Times New Roman"/>
          <w:sz w:val="20"/>
          <w:szCs w:val="20"/>
        </w:rPr>
        <w:t xml:space="preserve">Mefteh, B. (2024) The intersections of general international law and space law: Critical approach to Article III of the Outer Space Treaty. </w:t>
      </w:r>
      <w:r w:rsidRPr="00B776C2">
        <w:rPr>
          <w:rFonts w:ascii="Times New Roman" w:hAnsi="Times New Roman" w:cs="Times New Roman"/>
          <w:i/>
          <w:iCs/>
          <w:sz w:val="20"/>
          <w:szCs w:val="20"/>
        </w:rPr>
        <w:t>Advanced Space Law</w:t>
      </w:r>
      <w:r w:rsidRPr="00B776C2">
        <w:rPr>
          <w:rFonts w:ascii="Times New Roman" w:hAnsi="Times New Roman" w:cs="Times New Roman"/>
          <w:sz w:val="20"/>
          <w:szCs w:val="20"/>
        </w:rPr>
        <w:t xml:space="preserve">, 14, 53-65. </w:t>
      </w:r>
      <w:hyperlink r:id="rId47" w:history="1">
        <w:r w:rsidRPr="00B776C2">
          <w:rPr>
            <w:rStyle w:val="Hyperlink"/>
            <w:rFonts w:ascii="Times New Roman" w:hAnsi="Times New Roman" w:cs="Times New Roman"/>
            <w:sz w:val="20"/>
            <w:szCs w:val="20"/>
          </w:rPr>
          <w:t>https://doi.org/10.29202/asl/14/5</w:t>
        </w:r>
      </w:hyperlink>
    </w:p>
    <w:p w14:paraId="1E728463"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National Aeronautics and Space Administration. (2024</w:t>
      </w:r>
      <w:bookmarkEnd w:id="1"/>
      <w:r w:rsidRPr="00B776C2">
        <w:rPr>
          <w:rFonts w:ascii="Times New Roman" w:hAnsi="Times New Roman" w:cs="Times New Roman"/>
          <w:sz w:val="20"/>
          <w:szCs w:val="20"/>
        </w:rPr>
        <w:t xml:space="preserve">). Space-based solar power. NASA Office of Technology, Policy and Strategy. </w:t>
      </w:r>
      <w:hyperlink r:id="rId48" w:history="1">
        <w:r w:rsidRPr="00B776C2">
          <w:rPr>
            <w:rStyle w:val="Hyperlink"/>
            <w:rFonts w:ascii="Times New Roman" w:hAnsi="Times New Roman" w:cs="Times New Roman"/>
            <w:sz w:val="20"/>
            <w:szCs w:val="20"/>
          </w:rPr>
          <w:t>https://www.nasa.gov/wp-content/uploads/2024/01/otps-sbsp-report-final-tagged-approved-1-8-24-tagged-v2.pdf</w:t>
        </w:r>
      </w:hyperlink>
      <w:r w:rsidRPr="00B776C2">
        <w:rPr>
          <w:rFonts w:ascii="Times New Roman" w:hAnsi="Times New Roman" w:cs="Times New Roman"/>
          <w:sz w:val="20"/>
          <w:szCs w:val="20"/>
        </w:rPr>
        <w:t xml:space="preserve">  (accessed January 9, 2026).</w:t>
      </w:r>
    </w:p>
    <w:p w14:paraId="2A4D871C"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Nelson, R. R., &amp; Winter, S. G. (1982). </w:t>
      </w:r>
      <w:r w:rsidRPr="00B776C2">
        <w:rPr>
          <w:rFonts w:ascii="Times New Roman" w:hAnsi="Times New Roman" w:cs="Times New Roman"/>
          <w:i/>
          <w:iCs/>
          <w:sz w:val="20"/>
          <w:szCs w:val="20"/>
        </w:rPr>
        <w:t>An Evolutionary Theory of Economic Change</w:t>
      </w:r>
      <w:r w:rsidRPr="00B776C2">
        <w:rPr>
          <w:rFonts w:ascii="Times New Roman" w:hAnsi="Times New Roman" w:cs="Times New Roman"/>
          <w:sz w:val="20"/>
          <w:szCs w:val="20"/>
        </w:rPr>
        <w:t>. Harvard University Press.</w:t>
      </w:r>
    </w:p>
    <w:p w14:paraId="7B44F909"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Newell, R. G., Pizer, W. A., &amp; Raimi, D. (2014). Carbon markets: Past, present, and future. </w:t>
      </w:r>
      <w:r w:rsidRPr="00B776C2">
        <w:rPr>
          <w:rFonts w:ascii="Times New Roman" w:hAnsi="Times New Roman" w:cs="Times New Roman"/>
          <w:i/>
          <w:iCs/>
          <w:sz w:val="20"/>
          <w:szCs w:val="20"/>
        </w:rPr>
        <w:t>Annual Review of Resource Economics</w:t>
      </w:r>
      <w:r w:rsidRPr="00B776C2">
        <w:rPr>
          <w:rFonts w:ascii="Times New Roman" w:hAnsi="Times New Roman" w:cs="Times New Roman"/>
          <w:sz w:val="20"/>
          <w:szCs w:val="20"/>
        </w:rPr>
        <w:t xml:space="preserve">, 6, 191–215. </w:t>
      </w:r>
      <w:hyperlink r:id="rId49" w:history="1">
        <w:r w:rsidRPr="00B776C2">
          <w:rPr>
            <w:rStyle w:val="Hyperlink"/>
            <w:rFonts w:ascii="Times New Roman" w:hAnsi="Times New Roman" w:cs="Times New Roman"/>
            <w:sz w:val="20"/>
            <w:szCs w:val="20"/>
          </w:rPr>
          <w:t>https://doi.org/10.1146/annurev-resource-100913-012655</w:t>
        </w:r>
      </w:hyperlink>
      <w:r w:rsidRPr="00B776C2">
        <w:rPr>
          <w:rFonts w:ascii="Times New Roman" w:hAnsi="Times New Roman" w:cs="Times New Roman"/>
          <w:sz w:val="20"/>
          <w:szCs w:val="20"/>
        </w:rPr>
        <w:t xml:space="preserve"> </w:t>
      </w:r>
    </w:p>
    <w:p w14:paraId="191A89EC" w14:textId="7BAED72C" w:rsidR="005E1928" w:rsidRDefault="005E1928" w:rsidP="005E6D22">
      <w:pPr>
        <w:spacing w:line="240" w:lineRule="auto"/>
        <w:rPr>
          <w:rFonts w:ascii="Times New Roman" w:hAnsi="Times New Roman" w:cs="Times New Roman"/>
          <w:sz w:val="20"/>
          <w:szCs w:val="20"/>
        </w:rPr>
      </w:pPr>
      <w:r w:rsidRPr="005E1928">
        <w:rPr>
          <w:rFonts w:ascii="Times New Roman" w:hAnsi="Times New Roman" w:cs="Times New Roman"/>
          <w:sz w:val="20"/>
          <w:szCs w:val="20"/>
        </w:rPr>
        <w:t xml:space="preserve">North, D. C. (1990). </w:t>
      </w:r>
      <w:r w:rsidRPr="005E1928">
        <w:rPr>
          <w:rFonts w:ascii="Times New Roman" w:hAnsi="Times New Roman" w:cs="Times New Roman"/>
          <w:i/>
          <w:iCs/>
          <w:sz w:val="20"/>
          <w:szCs w:val="20"/>
        </w:rPr>
        <w:t>Institutions, Institutional Change and Economic Performance</w:t>
      </w:r>
      <w:r w:rsidRPr="005E1928">
        <w:rPr>
          <w:rFonts w:ascii="Times New Roman" w:hAnsi="Times New Roman" w:cs="Times New Roman"/>
          <w:sz w:val="20"/>
          <w:szCs w:val="20"/>
        </w:rPr>
        <w:t>. Cambridge University Press.</w:t>
      </w:r>
    </w:p>
    <w:p w14:paraId="2012D37F" w14:textId="7EE1021A"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Oltrogge, D. L., &amp; Christensen, I. A. (2020). Space governance in the new space era. </w:t>
      </w:r>
      <w:r w:rsidRPr="00B776C2">
        <w:rPr>
          <w:rFonts w:ascii="Times New Roman" w:hAnsi="Times New Roman" w:cs="Times New Roman"/>
          <w:i/>
          <w:iCs/>
          <w:sz w:val="20"/>
          <w:szCs w:val="20"/>
        </w:rPr>
        <w:t>Journal of Space Safety Engineering</w:t>
      </w:r>
      <w:r w:rsidRPr="00B776C2">
        <w:rPr>
          <w:rFonts w:ascii="Times New Roman" w:hAnsi="Times New Roman" w:cs="Times New Roman"/>
          <w:sz w:val="20"/>
          <w:szCs w:val="20"/>
        </w:rPr>
        <w:t xml:space="preserve">, 7(3), 432–438. </w:t>
      </w:r>
      <w:hyperlink r:id="rId50" w:history="1">
        <w:r w:rsidRPr="00B776C2">
          <w:rPr>
            <w:rStyle w:val="Hyperlink"/>
            <w:rFonts w:ascii="Times New Roman" w:hAnsi="Times New Roman" w:cs="Times New Roman"/>
            <w:sz w:val="20"/>
            <w:szCs w:val="20"/>
          </w:rPr>
          <w:t>https://doi.org/10.1016/j.jsse.2020.06.003</w:t>
        </w:r>
      </w:hyperlink>
      <w:r w:rsidRPr="00B776C2">
        <w:rPr>
          <w:rFonts w:ascii="Times New Roman" w:hAnsi="Times New Roman" w:cs="Times New Roman"/>
          <w:sz w:val="20"/>
          <w:szCs w:val="20"/>
        </w:rPr>
        <w:t xml:space="preserve"> </w:t>
      </w:r>
    </w:p>
    <w:p w14:paraId="0D48611E"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Orbital Today. (2024). Japan is to launch its first space-based solar power plant in 2025—but is it effective? </w:t>
      </w:r>
      <w:hyperlink r:id="rId51" w:history="1">
        <w:r w:rsidRPr="00B776C2">
          <w:rPr>
            <w:rStyle w:val="Hyperlink"/>
            <w:rFonts w:ascii="Times New Roman" w:hAnsi="Times New Roman" w:cs="Times New Roman"/>
            <w:sz w:val="20"/>
            <w:szCs w:val="20"/>
          </w:rPr>
          <w:t>https://orbitaltoday.com/2024/04/25/japan-is-to-launch-its-first-space-based-solar-power-plant-in-2025-but-is-it-effective/</w:t>
        </w:r>
      </w:hyperlink>
      <w:r w:rsidRPr="00B776C2">
        <w:rPr>
          <w:rFonts w:ascii="Times New Roman" w:hAnsi="Times New Roman" w:cs="Times New Roman"/>
          <w:sz w:val="20"/>
          <w:szCs w:val="20"/>
        </w:rPr>
        <w:t xml:space="preserve"> (accessed Jan. 9</w:t>
      </w:r>
      <w:r w:rsidRPr="00B776C2">
        <w:rPr>
          <w:rFonts w:ascii="Times New Roman" w:hAnsi="Times New Roman" w:cs="Times New Roman"/>
          <w:sz w:val="20"/>
          <w:szCs w:val="20"/>
          <w:vertAlign w:val="superscript"/>
        </w:rPr>
        <w:t>th</w:t>
      </w:r>
      <w:r w:rsidRPr="00B776C2">
        <w:rPr>
          <w:rFonts w:ascii="Times New Roman" w:hAnsi="Times New Roman" w:cs="Times New Roman"/>
          <w:sz w:val="20"/>
          <w:szCs w:val="20"/>
        </w:rPr>
        <w:t>, 2026)</w:t>
      </w:r>
    </w:p>
    <w:p w14:paraId="2CC2754C" w14:textId="51AE7AE0"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Organisation for Economic Co-operation and Development</w:t>
      </w:r>
      <w:r w:rsidR="00144F3F">
        <w:rPr>
          <w:rFonts w:ascii="Times New Roman" w:hAnsi="Times New Roman" w:cs="Times New Roman"/>
          <w:sz w:val="20"/>
          <w:szCs w:val="20"/>
        </w:rPr>
        <w:t xml:space="preserve"> (OECD)</w:t>
      </w:r>
      <w:r w:rsidRPr="00B776C2">
        <w:rPr>
          <w:rFonts w:ascii="Times New Roman" w:hAnsi="Times New Roman" w:cs="Times New Roman"/>
          <w:sz w:val="20"/>
          <w:szCs w:val="20"/>
        </w:rPr>
        <w:t xml:space="preserve">–Nuclear Energy Agency. (2019). The costs of decarbonisation: System costs with high shares of nuclear and renewables. OECD Publishing. </w:t>
      </w:r>
      <w:hyperlink r:id="rId52" w:history="1">
        <w:r w:rsidRPr="00B776C2">
          <w:rPr>
            <w:rStyle w:val="Hyperlink"/>
            <w:rFonts w:ascii="Times New Roman" w:hAnsi="Times New Roman" w:cs="Times New Roman"/>
            <w:sz w:val="20"/>
            <w:szCs w:val="20"/>
          </w:rPr>
          <w:t>https://www.oecd.org/content/dam/oecd/en/publications/reports/2019/01/the-costs-of-decarbonisation_g1g9f42f/9789264312180-en.pdf</w:t>
        </w:r>
      </w:hyperlink>
      <w:r w:rsidRPr="00B776C2">
        <w:rPr>
          <w:rFonts w:ascii="Times New Roman" w:hAnsi="Times New Roman" w:cs="Times New Roman"/>
          <w:sz w:val="20"/>
          <w:szCs w:val="20"/>
        </w:rPr>
        <w:t xml:space="preserve">  (accessed Jan. 9th., 2026).</w:t>
      </w:r>
    </w:p>
    <w:p w14:paraId="3B1A9D55"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Okereke, C. (2010). Climate justice and the international regime. </w:t>
      </w:r>
      <w:r w:rsidRPr="00B776C2">
        <w:rPr>
          <w:rFonts w:ascii="Times New Roman" w:hAnsi="Times New Roman" w:cs="Times New Roman"/>
          <w:i/>
          <w:iCs/>
          <w:sz w:val="20"/>
          <w:szCs w:val="20"/>
        </w:rPr>
        <w:t>Wiley Interdisciplinary Reviews: Climate Change</w:t>
      </w:r>
      <w:r w:rsidRPr="00B776C2">
        <w:rPr>
          <w:rFonts w:ascii="Times New Roman" w:hAnsi="Times New Roman" w:cs="Times New Roman"/>
          <w:sz w:val="20"/>
          <w:szCs w:val="20"/>
        </w:rPr>
        <w:t xml:space="preserve">, 1(3), 462–474. </w:t>
      </w:r>
      <w:hyperlink r:id="rId53" w:history="1">
        <w:r w:rsidRPr="00B776C2">
          <w:rPr>
            <w:rStyle w:val="Hyperlink"/>
            <w:rFonts w:ascii="Times New Roman" w:hAnsi="Times New Roman" w:cs="Times New Roman"/>
            <w:sz w:val="20"/>
            <w:szCs w:val="20"/>
          </w:rPr>
          <w:t>https://doi.org/10.1002/wcc.52</w:t>
        </w:r>
      </w:hyperlink>
      <w:r w:rsidRPr="00B776C2">
        <w:rPr>
          <w:rFonts w:ascii="Times New Roman" w:hAnsi="Times New Roman" w:cs="Times New Roman"/>
          <w:sz w:val="20"/>
          <w:szCs w:val="20"/>
        </w:rPr>
        <w:t xml:space="preserve"> </w:t>
      </w:r>
    </w:p>
    <w:p w14:paraId="07128C9D"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Ostrom, E. (2010). Beyond markets and states: Polycentric governance of complex economic systems. </w:t>
      </w:r>
      <w:r w:rsidRPr="00B776C2">
        <w:rPr>
          <w:rFonts w:ascii="Times New Roman" w:hAnsi="Times New Roman" w:cs="Times New Roman"/>
          <w:i/>
          <w:iCs/>
          <w:sz w:val="20"/>
          <w:szCs w:val="20"/>
        </w:rPr>
        <w:t>American Economic Review</w:t>
      </w:r>
      <w:r w:rsidRPr="00B776C2">
        <w:rPr>
          <w:rFonts w:ascii="Times New Roman" w:hAnsi="Times New Roman" w:cs="Times New Roman"/>
          <w:sz w:val="20"/>
          <w:szCs w:val="20"/>
        </w:rPr>
        <w:t xml:space="preserve">, 100(3), 641–672. </w:t>
      </w:r>
      <w:hyperlink r:id="rId54" w:history="1">
        <w:r w:rsidRPr="00B776C2">
          <w:rPr>
            <w:rStyle w:val="Hyperlink"/>
            <w:rFonts w:ascii="Times New Roman" w:hAnsi="Times New Roman" w:cs="Times New Roman"/>
            <w:sz w:val="20"/>
            <w:szCs w:val="20"/>
          </w:rPr>
          <w:t>https://doi.org/10.1257/aer.100.3.641</w:t>
        </w:r>
      </w:hyperlink>
      <w:r w:rsidRPr="00B776C2">
        <w:rPr>
          <w:rFonts w:ascii="Times New Roman" w:hAnsi="Times New Roman" w:cs="Times New Roman"/>
          <w:sz w:val="20"/>
          <w:szCs w:val="20"/>
        </w:rPr>
        <w:t xml:space="preserve"> </w:t>
      </w:r>
    </w:p>
    <w:p w14:paraId="6DA9287E"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Pelton, J. N. (2013). </w:t>
      </w:r>
      <w:r w:rsidRPr="00B776C2">
        <w:rPr>
          <w:rFonts w:ascii="Times New Roman" w:hAnsi="Times New Roman" w:cs="Times New Roman"/>
          <w:i/>
          <w:iCs/>
          <w:sz w:val="20"/>
          <w:szCs w:val="20"/>
        </w:rPr>
        <w:t>Space Debris and Other Threats from Outer Space</w:t>
      </w:r>
      <w:r w:rsidRPr="00B776C2">
        <w:rPr>
          <w:rFonts w:ascii="Times New Roman" w:hAnsi="Times New Roman" w:cs="Times New Roman"/>
          <w:sz w:val="20"/>
          <w:szCs w:val="20"/>
        </w:rPr>
        <w:t xml:space="preserve">. Springer Nature. </w:t>
      </w:r>
    </w:p>
    <w:p w14:paraId="0D83523A"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Pelton, J. N. (2019). </w:t>
      </w:r>
      <w:r w:rsidRPr="00B776C2">
        <w:rPr>
          <w:rFonts w:ascii="Times New Roman" w:hAnsi="Times New Roman" w:cs="Times New Roman"/>
          <w:i/>
          <w:iCs/>
          <w:sz w:val="20"/>
          <w:szCs w:val="20"/>
        </w:rPr>
        <w:t>Space 2.0: Revolutionary Advances in the Space Industry</w:t>
      </w:r>
      <w:r w:rsidRPr="00B776C2">
        <w:rPr>
          <w:rFonts w:ascii="Times New Roman" w:hAnsi="Times New Roman" w:cs="Times New Roman"/>
          <w:sz w:val="20"/>
          <w:szCs w:val="20"/>
        </w:rPr>
        <w:t>. Springer.</w:t>
      </w:r>
    </w:p>
    <w:p w14:paraId="01F636A4"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Perrow, C. (1984). </w:t>
      </w:r>
      <w:r w:rsidRPr="00B776C2">
        <w:rPr>
          <w:rFonts w:ascii="Times New Roman" w:hAnsi="Times New Roman" w:cs="Times New Roman"/>
          <w:i/>
          <w:iCs/>
          <w:sz w:val="20"/>
          <w:szCs w:val="20"/>
        </w:rPr>
        <w:t>Normal Accidents: Living with High-Risk Technologies</w:t>
      </w:r>
      <w:r w:rsidRPr="00B776C2">
        <w:rPr>
          <w:rFonts w:ascii="Times New Roman" w:hAnsi="Times New Roman" w:cs="Times New Roman"/>
          <w:sz w:val="20"/>
          <w:szCs w:val="20"/>
        </w:rPr>
        <w:t xml:space="preserve">. Basic Books. </w:t>
      </w:r>
      <w:hyperlink r:id="rId55" w:history="1">
        <w:r w:rsidRPr="00B776C2">
          <w:rPr>
            <w:rStyle w:val="Hyperlink"/>
            <w:rFonts w:ascii="Times New Roman" w:hAnsi="Times New Roman" w:cs="Times New Roman"/>
            <w:sz w:val="20"/>
            <w:szCs w:val="20"/>
          </w:rPr>
          <w:t>https://maritimesafetyinnovationlab.org/wp-content/uploads/2021/04/Normal-Accidents-Living-With-High-Risk-Technologies-Perrow.pdf</w:t>
        </w:r>
      </w:hyperlink>
      <w:r w:rsidRPr="00B776C2">
        <w:rPr>
          <w:rFonts w:ascii="Times New Roman" w:hAnsi="Times New Roman" w:cs="Times New Roman"/>
          <w:sz w:val="20"/>
          <w:szCs w:val="20"/>
        </w:rPr>
        <w:t xml:space="preserve"> (accessed Jan. 9</w:t>
      </w:r>
      <w:r w:rsidRPr="00B776C2">
        <w:rPr>
          <w:rFonts w:ascii="Times New Roman" w:hAnsi="Times New Roman" w:cs="Times New Roman"/>
          <w:sz w:val="20"/>
          <w:szCs w:val="20"/>
          <w:vertAlign w:val="superscript"/>
        </w:rPr>
        <w:t>th</w:t>
      </w:r>
      <w:r w:rsidRPr="00B776C2">
        <w:rPr>
          <w:rFonts w:ascii="Times New Roman" w:hAnsi="Times New Roman" w:cs="Times New Roman"/>
          <w:sz w:val="20"/>
          <w:szCs w:val="20"/>
        </w:rPr>
        <w:t>, 2026)</w:t>
      </w:r>
    </w:p>
    <w:p w14:paraId="5D9AF490" w14:textId="61833B8A"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Putro, Yaries &amp; Andriani, Popy &amp; Salsabila, Gusti &amp; Asyari, Haekal. (2023). Satellite Mega Constellations: Conflict between Freedom of Exploration and Unsustainable Outer Space Activities. </w:t>
      </w:r>
      <w:r w:rsidRPr="00B776C2">
        <w:rPr>
          <w:rFonts w:ascii="Times New Roman" w:hAnsi="Times New Roman" w:cs="Times New Roman"/>
          <w:i/>
          <w:iCs/>
          <w:sz w:val="20"/>
          <w:szCs w:val="20"/>
        </w:rPr>
        <w:t>Brawijaya Law Journal</w:t>
      </w:r>
      <w:r w:rsidRPr="00B776C2">
        <w:rPr>
          <w:rFonts w:ascii="Times New Roman" w:hAnsi="Times New Roman" w:cs="Times New Roman"/>
          <w:sz w:val="20"/>
          <w:szCs w:val="20"/>
        </w:rPr>
        <w:t>. 10. 89-105. 10.21776/ub.blj.2023.010.01.06</w:t>
      </w:r>
      <w:r w:rsidR="00144F3F">
        <w:rPr>
          <w:rFonts w:ascii="Times New Roman" w:hAnsi="Times New Roman" w:cs="Times New Roman"/>
          <w:sz w:val="20"/>
          <w:szCs w:val="20"/>
        </w:rPr>
        <w:t xml:space="preserve">  </w:t>
      </w:r>
      <w:r w:rsidRPr="00B776C2">
        <w:rPr>
          <w:rFonts w:ascii="Times New Roman" w:hAnsi="Times New Roman" w:cs="Times New Roman"/>
          <w:sz w:val="20"/>
          <w:szCs w:val="20"/>
        </w:rPr>
        <w:t xml:space="preserve"> </w:t>
      </w:r>
    </w:p>
    <w:p w14:paraId="1CA520FE"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Rodrik, D. (2004). </w:t>
      </w:r>
      <w:r w:rsidRPr="00B776C2">
        <w:rPr>
          <w:rFonts w:ascii="Times New Roman" w:hAnsi="Times New Roman" w:cs="Times New Roman"/>
          <w:i/>
          <w:iCs/>
          <w:sz w:val="20"/>
          <w:szCs w:val="20"/>
        </w:rPr>
        <w:t>Industrial Policy for the Twenty-First Century</w:t>
      </w:r>
      <w:r w:rsidRPr="00B776C2">
        <w:rPr>
          <w:rFonts w:ascii="Times New Roman" w:hAnsi="Times New Roman" w:cs="Times New Roman"/>
          <w:sz w:val="20"/>
          <w:szCs w:val="20"/>
        </w:rPr>
        <w:t xml:space="preserve">. Harvard University, John F. Kennedy School of Government. </w:t>
      </w:r>
      <w:hyperlink r:id="rId56" w:history="1">
        <w:r w:rsidRPr="00B776C2">
          <w:rPr>
            <w:rStyle w:val="Hyperlink"/>
            <w:rFonts w:ascii="Times New Roman" w:hAnsi="Times New Roman" w:cs="Times New Roman"/>
            <w:sz w:val="20"/>
            <w:szCs w:val="20"/>
          </w:rPr>
          <w:t>https://www.hks.harvard.edu/publications/industrial-policy-twenty-first-century</w:t>
        </w:r>
      </w:hyperlink>
      <w:r w:rsidRPr="00B776C2">
        <w:rPr>
          <w:rFonts w:ascii="Times New Roman" w:hAnsi="Times New Roman" w:cs="Times New Roman"/>
          <w:sz w:val="20"/>
          <w:szCs w:val="20"/>
        </w:rPr>
        <w:t xml:space="preserve"> (accessed Jan. 9</w:t>
      </w:r>
      <w:r w:rsidRPr="00B776C2">
        <w:rPr>
          <w:rFonts w:ascii="Times New Roman" w:hAnsi="Times New Roman" w:cs="Times New Roman"/>
          <w:sz w:val="20"/>
          <w:szCs w:val="20"/>
          <w:vertAlign w:val="superscript"/>
        </w:rPr>
        <w:t>th</w:t>
      </w:r>
      <w:r w:rsidRPr="00B776C2">
        <w:rPr>
          <w:rFonts w:ascii="Times New Roman" w:hAnsi="Times New Roman" w:cs="Times New Roman"/>
          <w:sz w:val="20"/>
          <w:szCs w:val="20"/>
        </w:rPr>
        <w:t>, 2026)</w:t>
      </w:r>
    </w:p>
    <w:p w14:paraId="05EF713D"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lastRenderedPageBreak/>
        <w:t xml:space="preserve">Sabel, C. F., &amp; Zeitlin, J. (2012). Experimentalist governance. In D. Levi-Faur (Ed.), </w:t>
      </w:r>
      <w:r w:rsidRPr="00B776C2">
        <w:rPr>
          <w:rFonts w:ascii="Times New Roman" w:hAnsi="Times New Roman" w:cs="Times New Roman"/>
          <w:i/>
          <w:iCs/>
          <w:sz w:val="20"/>
          <w:szCs w:val="20"/>
        </w:rPr>
        <w:t>The Oxford Handbook of Governance</w:t>
      </w:r>
      <w:r w:rsidRPr="00B776C2">
        <w:rPr>
          <w:rFonts w:ascii="Times New Roman" w:hAnsi="Times New Roman" w:cs="Times New Roman"/>
          <w:sz w:val="20"/>
          <w:szCs w:val="20"/>
        </w:rPr>
        <w:t xml:space="preserve">. Oxford University Press. DOI:10.1093/oxfordhb/9780199560530.013.0012 </w:t>
      </w:r>
    </w:p>
    <w:p w14:paraId="4DD7F725" w14:textId="77777777" w:rsidR="0023192A"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Sasaki, S. (2014). Microwave power transmission experiment on ground for SSPS demonstration. Japan Aerospace Exploration Agency. </w:t>
      </w:r>
      <w:hyperlink r:id="rId57" w:history="1">
        <w:r w:rsidRPr="00B776C2">
          <w:rPr>
            <w:rStyle w:val="Hyperlink"/>
            <w:rFonts w:ascii="Times New Roman" w:hAnsi="Times New Roman" w:cs="Times New Roman"/>
            <w:sz w:val="20"/>
            <w:szCs w:val="20"/>
          </w:rPr>
          <w:t>https://spacedream.sakura.ne.jp/PDFSPSENG14.pdf</w:t>
        </w:r>
      </w:hyperlink>
      <w:r w:rsidRPr="00B776C2">
        <w:rPr>
          <w:rFonts w:ascii="Times New Roman" w:hAnsi="Times New Roman" w:cs="Times New Roman"/>
          <w:sz w:val="20"/>
          <w:szCs w:val="20"/>
        </w:rPr>
        <w:t xml:space="preserve">  (accessed Jan. 9th, 2026)</w:t>
      </w:r>
    </w:p>
    <w:p w14:paraId="0977C022" w14:textId="2729DA16" w:rsidR="007A7A83" w:rsidRPr="00B776C2" w:rsidRDefault="007A7A83" w:rsidP="005E6D22">
      <w:pPr>
        <w:spacing w:line="240" w:lineRule="auto"/>
        <w:rPr>
          <w:rFonts w:ascii="Times New Roman" w:hAnsi="Times New Roman" w:cs="Times New Roman"/>
          <w:sz w:val="20"/>
          <w:szCs w:val="20"/>
        </w:rPr>
      </w:pPr>
      <w:r w:rsidRPr="007A7A83">
        <w:rPr>
          <w:rFonts w:ascii="Times New Roman" w:hAnsi="Times New Roman" w:cs="Times New Roman"/>
          <w:sz w:val="20"/>
          <w:szCs w:val="20"/>
        </w:rPr>
        <w:t xml:space="preserve">Schneider, L., &amp; La Hoz Theuer, S. (2019). Environmental integrity of international carbon market mechanisms under the Paris Agreement. </w:t>
      </w:r>
      <w:r w:rsidRPr="007A7A83">
        <w:rPr>
          <w:rFonts w:ascii="Times New Roman" w:hAnsi="Times New Roman" w:cs="Times New Roman"/>
          <w:i/>
          <w:iCs/>
          <w:sz w:val="20"/>
          <w:szCs w:val="20"/>
        </w:rPr>
        <w:t>Climate Policy</w:t>
      </w:r>
      <w:r w:rsidRPr="007A7A83">
        <w:rPr>
          <w:rFonts w:ascii="Times New Roman" w:hAnsi="Times New Roman" w:cs="Times New Roman"/>
          <w:sz w:val="20"/>
          <w:szCs w:val="20"/>
        </w:rPr>
        <w:t xml:space="preserve">, 19(3), 386–400. </w:t>
      </w:r>
      <w:hyperlink r:id="rId58" w:history="1">
        <w:r w:rsidRPr="00EA4AC5">
          <w:rPr>
            <w:rStyle w:val="Hyperlink"/>
            <w:rFonts w:ascii="Times New Roman" w:hAnsi="Times New Roman" w:cs="Times New Roman"/>
            <w:sz w:val="20"/>
            <w:szCs w:val="20"/>
          </w:rPr>
          <w:t>https://doi.org/10.1080/14693062.2018.1521332</w:t>
        </w:r>
      </w:hyperlink>
      <w:r>
        <w:rPr>
          <w:rFonts w:ascii="Times New Roman" w:hAnsi="Times New Roman" w:cs="Times New Roman"/>
          <w:sz w:val="20"/>
          <w:szCs w:val="20"/>
        </w:rPr>
        <w:t xml:space="preserve"> </w:t>
      </w:r>
    </w:p>
    <w:p w14:paraId="713112F1"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Sovacool, B. K., &amp; Linner, B. O. (2016). </w:t>
      </w:r>
      <w:r w:rsidRPr="00B776C2">
        <w:rPr>
          <w:rFonts w:ascii="Times New Roman" w:hAnsi="Times New Roman" w:cs="Times New Roman"/>
          <w:i/>
          <w:iCs/>
          <w:sz w:val="20"/>
          <w:szCs w:val="20"/>
        </w:rPr>
        <w:t>The Political Economy of Climate Change Adaptation</w:t>
      </w:r>
      <w:r w:rsidRPr="00B776C2">
        <w:rPr>
          <w:rFonts w:ascii="Times New Roman" w:hAnsi="Times New Roman" w:cs="Times New Roman"/>
          <w:sz w:val="20"/>
          <w:szCs w:val="20"/>
        </w:rPr>
        <w:t>. Palgrave Macmillan.</w:t>
      </w:r>
    </w:p>
    <w:p w14:paraId="02B092DA" w14:textId="7A7B5063"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Space Energy Initiative (SEI). (2021). CASSIOPeiA – Beamed Power Through </w:t>
      </w:r>
      <w:r w:rsidR="00144F3F" w:rsidRPr="00B776C2">
        <w:rPr>
          <w:rFonts w:ascii="Times New Roman" w:hAnsi="Times New Roman" w:cs="Times New Roman"/>
          <w:sz w:val="20"/>
          <w:szCs w:val="20"/>
        </w:rPr>
        <w:t>the</w:t>
      </w:r>
      <w:r w:rsidRPr="00B776C2">
        <w:rPr>
          <w:rFonts w:ascii="Times New Roman" w:hAnsi="Times New Roman" w:cs="Times New Roman"/>
          <w:sz w:val="20"/>
          <w:szCs w:val="20"/>
        </w:rPr>
        <w:t xml:space="preserve"> Long Lunar Night. </w:t>
      </w:r>
      <w:hyperlink r:id="rId59" w:history="1">
        <w:r w:rsidR="00144F3F" w:rsidRPr="00EA4AC5">
          <w:rPr>
            <w:rStyle w:val="Hyperlink"/>
            <w:rFonts w:ascii="Times New Roman" w:hAnsi="Times New Roman" w:cs="Times New Roman"/>
            <w:sz w:val="20"/>
            <w:szCs w:val="20"/>
          </w:rPr>
          <w:t>https://spaceenergyinitiative.org.uk/cassiopeia-beamed-power-through-the-long-lunar-night/</w:t>
        </w:r>
      </w:hyperlink>
      <w:r w:rsidR="00144F3F">
        <w:rPr>
          <w:rFonts w:ascii="Times New Roman" w:hAnsi="Times New Roman" w:cs="Times New Roman"/>
          <w:sz w:val="20"/>
          <w:szCs w:val="20"/>
        </w:rPr>
        <w:t xml:space="preserve"> </w:t>
      </w:r>
      <w:r w:rsidRPr="00B776C2">
        <w:rPr>
          <w:rFonts w:ascii="Times New Roman" w:hAnsi="Times New Roman" w:cs="Times New Roman"/>
          <w:sz w:val="20"/>
          <w:szCs w:val="20"/>
        </w:rPr>
        <w:t xml:space="preserve"> (accessed Jan. 9th, 2026)</w:t>
      </w:r>
    </w:p>
    <w:p w14:paraId="1DA358EB"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TechNrok. (2024). OHISAMA by JAXA: Retrodirective beam control for space-based solar power transmission. </w:t>
      </w:r>
      <w:hyperlink r:id="rId60" w:history="1">
        <w:r w:rsidRPr="00B776C2">
          <w:rPr>
            <w:rStyle w:val="Hyperlink"/>
            <w:rFonts w:ascii="Times New Roman" w:hAnsi="Times New Roman" w:cs="Times New Roman"/>
            <w:sz w:val="20"/>
            <w:szCs w:val="20"/>
          </w:rPr>
          <w:t>https://technrok.com/ohisama-by-jaxa-retrodirective-beam-control-for-space-based-solar-power-transmission/</w:t>
        </w:r>
      </w:hyperlink>
      <w:r w:rsidRPr="00B776C2">
        <w:rPr>
          <w:rFonts w:ascii="Times New Roman" w:hAnsi="Times New Roman" w:cs="Times New Roman"/>
          <w:sz w:val="20"/>
          <w:szCs w:val="20"/>
        </w:rPr>
        <w:t xml:space="preserve"> (accessed Jan. 9</w:t>
      </w:r>
      <w:r w:rsidRPr="00B776C2">
        <w:rPr>
          <w:rFonts w:ascii="Times New Roman" w:hAnsi="Times New Roman" w:cs="Times New Roman"/>
          <w:sz w:val="20"/>
          <w:szCs w:val="20"/>
          <w:vertAlign w:val="superscript"/>
        </w:rPr>
        <w:t>th</w:t>
      </w:r>
      <w:r w:rsidRPr="00B776C2">
        <w:rPr>
          <w:rFonts w:ascii="Times New Roman" w:hAnsi="Times New Roman" w:cs="Times New Roman"/>
          <w:sz w:val="20"/>
          <w:szCs w:val="20"/>
        </w:rPr>
        <w:t>, 2026)</w:t>
      </w:r>
    </w:p>
    <w:p w14:paraId="1E96F8CE"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United Nations Environment Programme. (2023). Emissions gap report 2023. UNEP. </w:t>
      </w:r>
      <w:hyperlink r:id="rId61" w:history="1">
        <w:r w:rsidRPr="00B776C2">
          <w:rPr>
            <w:rStyle w:val="Hyperlink"/>
            <w:rFonts w:ascii="Times New Roman" w:hAnsi="Times New Roman" w:cs="Times New Roman"/>
            <w:sz w:val="20"/>
            <w:szCs w:val="20"/>
          </w:rPr>
          <w:t>https://www.unep.org/resources/emissions-gap-report-2023</w:t>
        </w:r>
      </w:hyperlink>
      <w:r w:rsidRPr="00B776C2">
        <w:rPr>
          <w:rFonts w:ascii="Times New Roman" w:hAnsi="Times New Roman" w:cs="Times New Roman"/>
          <w:sz w:val="20"/>
          <w:szCs w:val="20"/>
        </w:rPr>
        <w:t xml:space="preserve"> (accessed January 9, 2026).</w:t>
      </w:r>
    </w:p>
    <w:p w14:paraId="54A2D695"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Verbruggen, A. (2011) Preparing the design of robust climate policy architectures. </w:t>
      </w:r>
      <w:r w:rsidRPr="00B776C2">
        <w:rPr>
          <w:rFonts w:ascii="Times New Roman" w:hAnsi="Times New Roman" w:cs="Times New Roman"/>
          <w:i/>
          <w:iCs/>
          <w:sz w:val="20"/>
          <w:szCs w:val="20"/>
        </w:rPr>
        <w:t>International Environmental Agreements: Politics, Law and Economics</w:t>
      </w:r>
      <w:r w:rsidRPr="00B776C2">
        <w:rPr>
          <w:rFonts w:ascii="Times New Roman" w:hAnsi="Times New Roman" w:cs="Times New Roman"/>
          <w:sz w:val="20"/>
          <w:szCs w:val="20"/>
        </w:rPr>
        <w:t xml:space="preserve"> 11, 275–295 (2011). </w:t>
      </w:r>
      <w:hyperlink r:id="rId62" w:history="1">
        <w:r w:rsidRPr="00B776C2">
          <w:rPr>
            <w:rStyle w:val="Hyperlink"/>
            <w:rFonts w:ascii="Times New Roman" w:hAnsi="Times New Roman" w:cs="Times New Roman"/>
            <w:sz w:val="20"/>
            <w:szCs w:val="20"/>
          </w:rPr>
          <w:t>https://doi.org/10.1007/s10784-010-9130-x</w:t>
        </w:r>
      </w:hyperlink>
      <w:r w:rsidRPr="00B776C2">
        <w:rPr>
          <w:rFonts w:ascii="Times New Roman" w:hAnsi="Times New Roman" w:cs="Times New Roman"/>
          <w:sz w:val="20"/>
          <w:szCs w:val="20"/>
        </w:rPr>
        <w:t xml:space="preserve">  </w:t>
      </w:r>
    </w:p>
    <w:p w14:paraId="060EFAE2"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Weeden, B., &amp; Chow, T. (2012). Taking a common-pool resources approach to space sustainability. </w:t>
      </w:r>
      <w:r w:rsidRPr="00B776C2">
        <w:rPr>
          <w:rFonts w:ascii="Times New Roman" w:hAnsi="Times New Roman" w:cs="Times New Roman"/>
          <w:i/>
          <w:iCs/>
          <w:sz w:val="20"/>
          <w:szCs w:val="20"/>
        </w:rPr>
        <w:t>Space Policy</w:t>
      </w:r>
      <w:r w:rsidRPr="00B776C2">
        <w:rPr>
          <w:rFonts w:ascii="Times New Roman" w:hAnsi="Times New Roman" w:cs="Times New Roman"/>
          <w:sz w:val="20"/>
          <w:szCs w:val="20"/>
        </w:rPr>
        <w:t xml:space="preserve">, 28(3), 166–172. </w:t>
      </w:r>
      <w:hyperlink r:id="rId63" w:history="1">
        <w:r w:rsidRPr="00B776C2">
          <w:rPr>
            <w:rStyle w:val="Hyperlink"/>
            <w:rFonts w:ascii="Times New Roman" w:hAnsi="Times New Roman" w:cs="Times New Roman"/>
            <w:sz w:val="20"/>
            <w:szCs w:val="20"/>
          </w:rPr>
          <w:t>https://doi.org/10.1016/j.spacepol.2012.06.004</w:t>
        </w:r>
      </w:hyperlink>
      <w:r w:rsidRPr="00B776C2">
        <w:rPr>
          <w:rFonts w:ascii="Times New Roman" w:hAnsi="Times New Roman" w:cs="Times New Roman"/>
          <w:sz w:val="20"/>
          <w:szCs w:val="20"/>
        </w:rPr>
        <w:t xml:space="preserve"> </w:t>
      </w:r>
    </w:p>
    <w:p w14:paraId="07BB6109" w14:textId="77777777" w:rsidR="0023192A"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White House. (2025, December 18). </w:t>
      </w:r>
      <w:r w:rsidRPr="00B776C2">
        <w:rPr>
          <w:rFonts w:ascii="Times New Roman" w:hAnsi="Times New Roman" w:cs="Times New Roman"/>
          <w:i/>
          <w:iCs/>
          <w:sz w:val="20"/>
          <w:szCs w:val="20"/>
        </w:rPr>
        <w:t>Ensuring American Space Superiority</w:t>
      </w:r>
      <w:r w:rsidRPr="00B776C2">
        <w:rPr>
          <w:rFonts w:ascii="Times New Roman" w:hAnsi="Times New Roman" w:cs="Times New Roman"/>
          <w:sz w:val="20"/>
          <w:szCs w:val="20"/>
        </w:rPr>
        <w:t xml:space="preserve"> — Executive Order. </w:t>
      </w:r>
      <w:hyperlink r:id="rId64" w:tgtFrame="_new" w:history="1">
        <w:r w:rsidRPr="00B776C2">
          <w:rPr>
            <w:rStyle w:val="Hyperlink"/>
            <w:rFonts w:ascii="Times New Roman" w:hAnsi="Times New Roman" w:cs="Times New Roman"/>
            <w:sz w:val="20"/>
            <w:szCs w:val="20"/>
          </w:rPr>
          <w:t>https://www.whitehouse.gov/presidential-actions/2025/12/ensuring-american-space-superiority/</w:t>
        </w:r>
      </w:hyperlink>
      <w:r w:rsidRPr="00B776C2">
        <w:rPr>
          <w:rFonts w:ascii="Times New Roman" w:hAnsi="Times New Roman" w:cs="Times New Roman"/>
          <w:sz w:val="20"/>
          <w:szCs w:val="20"/>
        </w:rPr>
        <w:t xml:space="preserve"> (accessed Jan. 9</w:t>
      </w:r>
      <w:r w:rsidRPr="00B776C2">
        <w:rPr>
          <w:rFonts w:ascii="Times New Roman" w:hAnsi="Times New Roman" w:cs="Times New Roman"/>
          <w:sz w:val="20"/>
          <w:szCs w:val="20"/>
          <w:vertAlign w:val="superscript"/>
        </w:rPr>
        <w:t>th</w:t>
      </w:r>
      <w:r w:rsidRPr="00B776C2">
        <w:rPr>
          <w:rFonts w:ascii="Times New Roman" w:hAnsi="Times New Roman" w:cs="Times New Roman"/>
          <w:sz w:val="20"/>
          <w:szCs w:val="20"/>
        </w:rPr>
        <w:t>, 2026)</w:t>
      </w:r>
    </w:p>
    <w:p w14:paraId="47E13FB1" w14:textId="21C3B8AD" w:rsidR="00353452" w:rsidRPr="00B776C2" w:rsidRDefault="00353452" w:rsidP="005E6D22">
      <w:pPr>
        <w:spacing w:line="240" w:lineRule="auto"/>
        <w:rPr>
          <w:rFonts w:ascii="Times New Roman" w:hAnsi="Times New Roman" w:cs="Times New Roman"/>
          <w:sz w:val="20"/>
          <w:szCs w:val="20"/>
        </w:rPr>
      </w:pPr>
      <w:r w:rsidRPr="00353452">
        <w:rPr>
          <w:rFonts w:ascii="Times New Roman" w:hAnsi="Times New Roman" w:cs="Times New Roman"/>
          <w:sz w:val="20"/>
          <w:szCs w:val="20"/>
        </w:rPr>
        <w:t xml:space="preserve">World Energy Council. (2013). </w:t>
      </w:r>
      <w:r w:rsidRPr="00353452">
        <w:rPr>
          <w:rFonts w:ascii="Times New Roman" w:hAnsi="Times New Roman" w:cs="Times New Roman"/>
          <w:i/>
          <w:iCs/>
          <w:sz w:val="20"/>
          <w:szCs w:val="20"/>
        </w:rPr>
        <w:t>World Energy Trilemma: Energy Sustainability Index</w:t>
      </w:r>
      <w:r w:rsidRPr="00353452">
        <w:rPr>
          <w:rFonts w:ascii="Times New Roman" w:hAnsi="Times New Roman" w:cs="Times New Roman"/>
          <w:sz w:val="20"/>
          <w:szCs w:val="20"/>
        </w:rPr>
        <w:t>. World Energy Council.</w:t>
      </w:r>
      <w:r>
        <w:rPr>
          <w:rFonts w:ascii="Times New Roman" w:hAnsi="Times New Roman" w:cs="Times New Roman"/>
          <w:sz w:val="20"/>
          <w:szCs w:val="20"/>
        </w:rPr>
        <w:t xml:space="preserve"> </w:t>
      </w:r>
      <w:hyperlink r:id="rId65" w:history="1">
        <w:r w:rsidRPr="00EA4AC5">
          <w:rPr>
            <w:rStyle w:val="Hyperlink"/>
            <w:rFonts w:ascii="Times New Roman" w:hAnsi="Times New Roman" w:cs="Times New Roman"/>
            <w:sz w:val="20"/>
            <w:szCs w:val="20"/>
          </w:rPr>
          <w:t>https://www.worldenergy.org/assets/images/imported/2013/09/2013-Energy-Sustainability-Index-VOL-2.pdf</w:t>
        </w:r>
      </w:hyperlink>
      <w:r>
        <w:rPr>
          <w:rFonts w:ascii="Times New Roman" w:hAnsi="Times New Roman" w:cs="Times New Roman"/>
          <w:sz w:val="20"/>
          <w:szCs w:val="20"/>
        </w:rPr>
        <w:t xml:space="preserve"> (accessed Jan. 9</w:t>
      </w:r>
      <w:r w:rsidRPr="00353452">
        <w:rPr>
          <w:rFonts w:ascii="Times New Roman" w:hAnsi="Times New Roman" w:cs="Times New Roman"/>
          <w:sz w:val="20"/>
          <w:szCs w:val="20"/>
          <w:vertAlign w:val="superscript"/>
        </w:rPr>
        <w:t>th</w:t>
      </w:r>
      <w:r>
        <w:rPr>
          <w:rFonts w:ascii="Times New Roman" w:hAnsi="Times New Roman" w:cs="Times New Roman"/>
          <w:sz w:val="20"/>
          <w:szCs w:val="20"/>
        </w:rPr>
        <w:t>, 2026)</w:t>
      </w:r>
    </w:p>
    <w:p w14:paraId="3A863AD6" w14:textId="77777777" w:rsidR="0023192A" w:rsidRPr="00B776C2" w:rsidRDefault="0023192A" w:rsidP="005E6D22">
      <w:pPr>
        <w:spacing w:line="240" w:lineRule="auto"/>
        <w:rPr>
          <w:rFonts w:ascii="Times New Roman" w:hAnsi="Times New Roman" w:cs="Times New Roman"/>
          <w:sz w:val="20"/>
          <w:szCs w:val="20"/>
        </w:rPr>
      </w:pPr>
      <w:r w:rsidRPr="00B776C2">
        <w:rPr>
          <w:rFonts w:ascii="Times New Roman" w:hAnsi="Times New Roman" w:cs="Times New Roman"/>
          <w:sz w:val="20"/>
          <w:szCs w:val="20"/>
        </w:rPr>
        <w:t xml:space="preserve">Young, O. R. (2010). Institutional dynamics: Resilience, vulnerability and adaptation in environmental and resource regimes. </w:t>
      </w:r>
      <w:r w:rsidRPr="00B776C2">
        <w:rPr>
          <w:rFonts w:ascii="Times New Roman" w:hAnsi="Times New Roman" w:cs="Times New Roman"/>
          <w:i/>
          <w:iCs/>
          <w:sz w:val="20"/>
          <w:szCs w:val="20"/>
        </w:rPr>
        <w:t>Global Environmental Change, 20</w:t>
      </w:r>
      <w:r w:rsidRPr="00B776C2">
        <w:rPr>
          <w:rFonts w:ascii="Times New Roman" w:hAnsi="Times New Roman" w:cs="Times New Roman"/>
          <w:sz w:val="20"/>
          <w:szCs w:val="20"/>
        </w:rPr>
        <w:t xml:space="preserve">(3), 378–385. </w:t>
      </w:r>
      <w:hyperlink r:id="rId66" w:history="1">
        <w:r w:rsidRPr="00B776C2">
          <w:rPr>
            <w:rStyle w:val="Hyperlink"/>
            <w:rFonts w:ascii="Times New Roman" w:hAnsi="Times New Roman" w:cs="Times New Roman"/>
            <w:sz w:val="20"/>
            <w:szCs w:val="20"/>
          </w:rPr>
          <w:t>https://doi.org/10.1016/j.gloenvcha.2009.10.001</w:t>
        </w:r>
      </w:hyperlink>
      <w:r w:rsidRPr="00B776C2">
        <w:rPr>
          <w:rFonts w:ascii="Times New Roman" w:hAnsi="Times New Roman" w:cs="Times New Roman"/>
          <w:sz w:val="20"/>
          <w:szCs w:val="20"/>
        </w:rPr>
        <w:t xml:space="preserve"> </w:t>
      </w:r>
    </w:p>
    <w:p w14:paraId="37A6DB31" w14:textId="2A0B0C6E" w:rsidR="00F45D3F" w:rsidRDefault="0023192A" w:rsidP="005E6D22">
      <w:pPr>
        <w:spacing w:line="240" w:lineRule="auto"/>
        <w:rPr>
          <w:rFonts w:ascii="Times New Roman" w:eastAsia="Times New Roman" w:hAnsi="Times New Roman" w:cs="Times New Roman"/>
          <w:b/>
          <w:bCs/>
          <w:sz w:val="20"/>
          <w:szCs w:val="20"/>
        </w:rPr>
      </w:pPr>
      <w:r w:rsidRPr="00B776C2">
        <w:rPr>
          <w:rFonts w:ascii="Times New Roman" w:hAnsi="Times New Roman" w:cs="Times New Roman"/>
          <w:sz w:val="20"/>
          <w:szCs w:val="20"/>
        </w:rPr>
        <w:t xml:space="preserve">Zhang, X., Li, J., &amp; Wang, Q. (2021). Development roadmap and key technologies of space-based solar power in China. </w:t>
      </w:r>
      <w:r w:rsidRPr="00B776C2">
        <w:rPr>
          <w:rFonts w:ascii="Times New Roman" w:hAnsi="Times New Roman" w:cs="Times New Roman"/>
          <w:i/>
          <w:iCs/>
          <w:sz w:val="20"/>
          <w:szCs w:val="20"/>
        </w:rPr>
        <w:t>Acta Astronautica</w:t>
      </w:r>
      <w:r w:rsidRPr="00B776C2">
        <w:rPr>
          <w:rFonts w:ascii="Times New Roman" w:hAnsi="Times New Roman" w:cs="Times New Roman"/>
          <w:sz w:val="20"/>
          <w:szCs w:val="20"/>
        </w:rPr>
        <w:t xml:space="preserve">, 181, 370–383. </w:t>
      </w:r>
      <w:hyperlink r:id="rId67" w:history="1">
        <w:r w:rsidRPr="00B776C2">
          <w:rPr>
            <w:rStyle w:val="Hyperlink"/>
            <w:rFonts w:ascii="Times New Roman" w:hAnsi="Times New Roman" w:cs="Times New Roman"/>
            <w:sz w:val="20"/>
            <w:szCs w:val="20"/>
          </w:rPr>
          <w:t>https://doi.org/10.1016/j.actaastro.2021.01.012</w:t>
        </w:r>
      </w:hyperlink>
      <w:r>
        <w:rPr>
          <w:rFonts w:ascii="Times New Roman" w:hAnsi="Times New Roman" w:cs="Times New Roman"/>
          <w:sz w:val="20"/>
          <w:szCs w:val="20"/>
        </w:rPr>
        <w:t xml:space="preserve"> </w:t>
      </w:r>
    </w:p>
    <w:sectPr w:rsidR="00F45D3F">
      <w:foot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F3388" w14:textId="77777777" w:rsidR="00657E64" w:rsidRDefault="00657E64" w:rsidP="000D7F68">
      <w:pPr>
        <w:spacing w:after="0" w:line="240" w:lineRule="auto"/>
      </w:pPr>
      <w:r>
        <w:separator/>
      </w:r>
    </w:p>
  </w:endnote>
  <w:endnote w:type="continuationSeparator" w:id="0">
    <w:p w14:paraId="22422125" w14:textId="77777777" w:rsidR="00657E64" w:rsidRDefault="00657E64" w:rsidP="000D7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183265"/>
      <w:docPartObj>
        <w:docPartGallery w:val="Page Numbers (Bottom of Page)"/>
        <w:docPartUnique/>
      </w:docPartObj>
    </w:sdtPr>
    <w:sdtEndPr>
      <w:rPr>
        <w:noProof/>
      </w:rPr>
    </w:sdtEndPr>
    <w:sdtContent>
      <w:p w14:paraId="2CE829AF" w14:textId="5D5617EA" w:rsidR="006D1689" w:rsidRDefault="006D16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85B0F7" w14:textId="77777777" w:rsidR="006D1689" w:rsidRDefault="006D1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5443A" w14:textId="77777777" w:rsidR="00657E64" w:rsidRDefault="00657E64" w:rsidP="000D7F68">
      <w:pPr>
        <w:spacing w:after="0" w:line="240" w:lineRule="auto"/>
      </w:pPr>
      <w:r>
        <w:separator/>
      </w:r>
    </w:p>
  </w:footnote>
  <w:footnote w:type="continuationSeparator" w:id="0">
    <w:p w14:paraId="0E8371E9" w14:textId="77777777" w:rsidR="00657E64" w:rsidRDefault="00657E64" w:rsidP="000D7F68">
      <w:pPr>
        <w:spacing w:after="0" w:line="240" w:lineRule="auto"/>
      </w:pPr>
      <w:r>
        <w:continuationSeparator/>
      </w:r>
    </w:p>
  </w:footnote>
  <w:footnote w:id="1">
    <w:p w14:paraId="09CDF1DD" w14:textId="3029FD4E" w:rsidR="00C30A09" w:rsidRPr="00C30A09" w:rsidRDefault="00C30A09">
      <w:pPr>
        <w:pStyle w:val="FootnoteText"/>
        <w:rPr>
          <w:sz w:val="16"/>
          <w:szCs w:val="16"/>
        </w:rPr>
      </w:pPr>
      <w:r>
        <w:rPr>
          <w:rStyle w:val="FootnoteReference"/>
        </w:rPr>
        <w:footnoteRef/>
      </w:r>
      <w:r>
        <w:t xml:space="preserve"> </w:t>
      </w:r>
      <w:r w:rsidRPr="00C30A09">
        <w:rPr>
          <w:sz w:val="16"/>
          <w:szCs w:val="16"/>
        </w:rPr>
        <w:t>Treaty on Principles Governing the Activities of States in the Exploration and Use of Outer Space, Including the Moon and Other Celestial Bodies, Jan. 27, 1967, 18 U.S.T. 2410, 610 U.N.T.S. 205.</w:t>
      </w:r>
    </w:p>
  </w:footnote>
  <w:footnote w:id="2">
    <w:p w14:paraId="6BEDC374" w14:textId="22A78105" w:rsidR="0009190F" w:rsidRPr="0009190F" w:rsidRDefault="0009190F">
      <w:pPr>
        <w:pStyle w:val="FootnoteText"/>
        <w:rPr>
          <w:sz w:val="16"/>
          <w:szCs w:val="16"/>
        </w:rPr>
      </w:pPr>
      <w:r>
        <w:rPr>
          <w:rStyle w:val="FootnoteReference"/>
        </w:rPr>
        <w:footnoteRef/>
      </w:r>
      <w:r>
        <w:t xml:space="preserve"> </w:t>
      </w:r>
      <w:r w:rsidRPr="0009190F">
        <w:rPr>
          <w:sz w:val="16"/>
          <w:szCs w:val="16"/>
        </w:rPr>
        <w:t>Paris Agreement, Dec. 12, 2015, T.I.A.S. No. 16-1104, 55 I.L.M. 740 (2016).</w:t>
      </w:r>
    </w:p>
  </w:footnote>
  <w:footnote w:id="3">
    <w:p w14:paraId="22D8752D" w14:textId="2E87AF85" w:rsidR="0009190F" w:rsidRPr="0009190F" w:rsidRDefault="0009190F">
      <w:pPr>
        <w:pStyle w:val="FootnoteText"/>
        <w:rPr>
          <w:sz w:val="16"/>
          <w:szCs w:val="16"/>
        </w:rPr>
      </w:pPr>
      <w:r>
        <w:rPr>
          <w:rStyle w:val="FootnoteReference"/>
        </w:rPr>
        <w:footnoteRef/>
      </w:r>
      <w:r>
        <w:t xml:space="preserve"> </w:t>
      </w:r>
      <w:r w:rsidRPr="0009190F">
        <w:rPr>
          <w:sz w:val="16"/>
          <w:szCs w:val="16"/>
        </w:rPr>
        <w:t>Agreement Governing the Activities of States on the Moon and Other Celestial Bodies, Dec. 18, 1979, 1363 U.N.T.S. 3.</w:t>
      </w:r>
    </w:p>
  </w:footnote>
  <w:footnote w:id="4">
    <w:p w14:paraId="75092B97" w14:textId="7DDA07D6" w:rsidR="00302093" w:rsidRDefault="00302093">
      <w:pPr>
        <w:pStyle w:val="FootnoteText"/>
      </w:pPr>
      <w:r>
        <w:rPr>
          <w:rStyle w:val="FootnoteReference"/>
        </w:rPr>
        <w:footnoteRef/>
      </w:r>
      <w:r>
        <w:t xml:space="preserve"> </w:t>
      </w:r>
      <w:r w:rsidRPr="00302093">
        <w:rPr>
          <w:sz w:val="16"/>
          <w:szCs w:val="16"/>
        </w:rPr>
        <w:t>Convention on International Liability for Damage Caused by Space Objects, Mar. 29, 1972, 961 U.N.T.S. 187.</w:t>
      </w:r>
    </w:p>
  </w:footnote>
  <w:footnote w:id="5">
    <w:p w14:paraId="6A16E8A4" w14:textId="52860B5A" w:rsidR="000405BC" w:rsidRPr="000405BC" w:rsidRDefault="000405BC">
      <w:pPr>
        <w:pStyle w:val="FootnoteText"/>
        <w:rPr>
          <w:sz w:val="16"/>
          <w:szCs w:val="16"/>
        </w:rPr>
      </w:pPr>
      <w:r>
        <w:rPr>
          <w:rStyle w:val="FootnoteReference"/>
        </w:rPr>
        <w:footnoteRef/>
      </w:r>
      <w:r>
        <w:t xml:space="preserve"> </w:t>
      </w:r>
      <w:r w:rsidRPr="000405BC">
        <w:rPr>
          <w:sz w:val="16"/>
          <w:szCs w:val="16"/>
        </w:rPr>
        <w:t>Kyoto Protocol to the United Nations Framework Convention on Climate Change, art. 12, Dec. 11, 1997, 2303 U.N.T.S. 162.</w:t>
      </w:r>
    </w:p>
  </w:footnote>
  <w:footnote w:id="6">
    <w:p w14:paraId="7D9762A6" w14:textId="564905D4" w:rsidR="000D7F68" w:rsidRPr="000D7F68" w:rsidRDefault="000D7F68">
      <w:pPr>
        <w:pStyle w:val="FootnoteText"/>
        <w:rPr>
          <w:sz w:val="16"/>
          <w:szCs w:val="16"/>
        </w:rPr>
      </w:pPr>
      <w:r>
        <w:rPr>
          <w:rStyle w:val="FootnoteReference"/>
        </w:rPr>
        <w:footnoteRef/>
      </w:r>
      <w:r>
        <w:t xml:space="preserve"> </w:t>
      </w:r>
      <w:r w:rsidRPr="000D7F68">
        <w:rPr>
          <w:sz w:val="16"/>
          <w:szCs w:val="16"/>
        </w:rPr>
        <w:t>National Aeronautics and Space Act of 1958, 51 U.S.C. § 20101 et seq.</w:t>
      </w:r>
    </w:p>
  </w:footnote>
  <w:footnote w:id="7">
    <w:p w14:paraId="79D4CFE2" w14:textId="49962012" w:rsidR="000D7F68" w:rsidRDefault="000D7F68">
      <w:pPr>
        <w:pStyle w:val="FootnoteText"/>
      </w:pPr>
      <w:r>
        <w:rPr>
          <w:rStyle w:val="FootnoteReference"/>
        </w:rPr>
        <w:footnoteRef/>
      </w:r>
      <w:r>
        <w:t xml:space="preserve"> </w:t>
      </w:r>
      <w:r w:rsidRPr="000D7F68">
        <w:rPr>
          <w:sz w:val="16"/>
          <w:szCs w:val="16"/>
        </w:rPr>
        <w:t>Commercial Space Launch Competitiveness Act of 2015, 51 U.S.C. §§ 50901–50923, 51301–51303.</w:t>
      </w:r>
      <w:r>
        <w:t xml:space="preserve"> </w:t>
      </w:r>
    </w:p>
  </w:footnote>
  <w:footnote w:id="8">
    <w:p w14:paraId="63F84053" w14:textId="147DE472" w:rsidR="005D4979" w:rsidRPr="005D4979" w:rsidRDefault="005D4979">
      <w:pPr>
        <w:pStyle w:val="FootnoteText"/>
        <w:rPr>
          <w:sz w:val="16"/>
          <w:szCs w:val="16"/>
        </w:rPr>
      </w:pPr>
      <w:r>
        <w:rPr>
          <w:rStyle w:val="FootnoteReference"/>
        </w:rPr>
        <w:footnoteRef/>
      </w:r>
      <w:r>
        <w:t xml:space="preserve"> </w:t>
      </w:r>
      <w:r w:rsidRPr="005D4979">
        <w:rPr>
          <w:sz w:val="16"/>
          <w:szCs w:val="16"/>
        </w:rPr>
        <w:t>National Environmental Policy Act of 1969, Pub. L. No. 91-190, 83 Stat. 852 (1970).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6672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4536E7"/>
    <w:multiLevelType w:val="hybridMultilevel"/>
    <w:tmpl w:val="CF0ED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5CDD6"/>
    <w:multiLevelType w:val="hybridMultilevel"/>
    <w:tmpl w:val="DDB639C0"/>
    <w:lvl w:ilvl="0" w:tplc="D6D66A88">
      <w:start w:val="1"/>
      <w:numFmt w:val="bullet"/>
      <w:lvlText w:val=""/>
      <w:lvlJc w:val="left"/>
      <w:pPr>
        <w:ind w:left="720" w:hanging="360"/>
      </w:pPr>
      <w:rPr>
        <w:rFonts w:ascii="Symbol" w:hAnsi="Symbol" w:hint="default"/>
      </w:rPr>
    </w:lvl>
    <w:lvl w:ilvl="1" w:tplc="445CE524">
      <w:start w:val="1"/>
      <w:numFmt w:val="bullet"/>
      <w:lvlText w:val="o"/>
      <w:lvlJc w:val="left"/>
      <w:pPr>
        <w:ind w:left="1440" w:hanging="360"/>
      </w:pPr>
      <w:rPr>
        <w:rFonts w:ascii="Courier New" w:hAnsi="Courier New" w:hint="default"/>
      </w:rPr>
    </w:lvl>
    <w:lvl w:ilvl="2" w:tplc="122C743E">
      <w:start w:val="1"/>
      <w:numFmt w:val="bullet"/>
      <w:lvlText w:val=""/>
      <w:lvlJc w:val="left"/>
      <w:pPr>
        <w:ind w:left="2160" w:hanging="360"/>
      </w:pPr>
      <w:rPr>
        <w:rFonts w:ascii="Wingdings" w:hAnsi="Wingdings" w:hint="default"/>
      </w:rPr>
    </w:lvl>
    <w:lvl w:ilvl="3" w:tplc="F43ADE68">
      <w:start w:val="1"/>
      <w:numFmt w:val="bullet"/>
      <w:lvlText w:val=""/>
      <w:lvlJc w:val="left"/>
      <w:pPr>
        <w:ind w:left="2880" w:hanging="360"/>
      </w:pPr>
      <w:rPr>
        <w:rFonts w:ascii="Symbol" w:hAnsi="Symbol" w:hint="default"/>
      </w:rPr>
    </w:lvl>
    <w:lvl w:ilvl="4" w:tplc="BAB0AC14">
      <w:start w:val="1"/>
      <w:numFmt w:val="bullet"/>
      <w:lvlText w:val="o"/>
      <w:lvlJc w:val="left"/>
      <w:pPr>
        <w:ind w:left="3600" w:hanging="360"/>
      </w:pPr>
      <w:rPr>
        <w:rFonts w:ascii="Courier New" w:hAnsi="Courier New" w:hint="default"/>
      </w:rPr>
    </w:lvl>
    <w:lvl w:ilvl="5" w:tplc="052EF9A8">
      <w:start w:val="1"/>
      <w:numFmt w:val="bullet"/>
      <w:lvlText w:val=""/>
      <w:lvlJc w:val="left"/>
      <w:pPr>
        <w:ind w:left="4320" w:hanging="360"/>
      </w:pPr>
      <w:rPr>
        <w:rFonts w:ascii="Wingdings" w:hAnsi="Wingdings" w:hint="default"/>
      </w:rPr>
    </w:lvl>
    <w:lvl w:ilvl="6" w:tplc="6D9ECC00">
      <w:start w:val="1"/>
      <w:numFmt w:val="bullet"/>
      <w:lvlText w:val=""/>
      <w:lvlJc w:val="left"/>
      <w:pPr>
        <w:ind w:left="5040" w:hanging="360"/>
      </w:pPr>
      <w:rPr>
        <w:rFonts w:ascii="Symbol" w:hAnsi="Symbol" w:hint="default"/>
      </w:rPr>
    </w:lvl>
    <w:lvl w:ilvl="7" w:tplc="CC78CADE">
      <w:start w:val="1"/>
      <w:numFmt w:val="bullet"/>
      <w:lvlText w:val="o"/>
      <w:lvlJc w:val="left"/>
      <w:pPr>
        <w:ind w:left="5760" w:hanging="360"/>
      </w:pPr>
      <w:rPr>
        <w:rFonts w:ascii="Courier New" w:hAnsi="Courier New" w:hint="default"/>
      </w:rPr>
    </w:lvl>
    <w:lvl w:ilvl="8" w:tplc="5BE4C4C0">
      <w:start w:val="1"/>
      <w:numFmt w:val="bullet"/>
      <w:lvlText w:val=""/>
      <w:lvlJc w:val="left"/>
      <w:pPr>
        <w:ind w:left="6480" w:hanging="360"/>
      </w:pPr>
      <w:rPr>
        <w:rFonts w:ascii="Wingdings" w:hAnsi="Wingdings" w:hint="default"/>
      </w:rPr>
    </w:lvl>
  </w:abstractNum>
  <w:abstractNum w:abstractNumId="3" w15:restartNumberingAfterBreak="0">
    <w:nsid w:val="09327D54"/>
    <w:multiLevelType w:val="hybridMultilevel"/>
    <w:tmpl w:val="180253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ADC8E"/>
    <w:multiLevelType w:val="hybridMultilevel"/>
    <w:tmpl w:val="7DAE093A"/>
    <w:lvl w:ilvl="0" w:tplc="4886B7FC">
      <w:start w:val="1"/>
      <w:numFmt w:val="decimal"/>
      <w:lvlText w:val="%1."/>
      <w:lvlJc w:val="left"/>
      <w:pPr>
        <w:ind w:left="720" w:hanging="360"/>
      </w:pPr>
    </w:lvl>
    <w:lvl w:ilvl="1" w:tplc="CE54F74C">
      <w:start w:val="1"/>
      <w:numFmt w:val="lowerLetter"/>
      <w:lvlText w:val="%2."/>
      <w:lvlJc w:val="left"/>
      <w:pPr>
        <w:ind w:left="1440" w:hanging="360"/>
      </w:pPr>
    </w:lvl>
    <w:lvl w:ilvl="2" w:tplc="C85E468E">
      <w:start w:val="1"/>
      <w:numFmt w:val="lowerRoman"/>
      <w:lvlText w:val="%3."/>
      <w:lvlJc w:val="right"/>
      <w:pPr>
        <w:ind w:left="2160" w:hanging="180"/>
      </w:pPr>
    </w:lvl>
    <w:lvl w:ilvl="3" w:tplc="089C99BE">
      <w:start w:val="1"/>
      <w:numFmt w:val="decimal"/>
      <w:lvlText w:val="%4."/>
      <w:lvlJc w:val="left"/>
      <w:pPr>
        <w:ind w:left="2880" w:hanging="360"/>
      </w:pPr>
    </w:lvl>
    <w:lvl w:ilvl="4" w:tplc="7D64D044">
      <w:start w:val="1"/>
      <w:numFmt w:val="lowerLetter"/>
      <w:lvlText w:val="%5."/>
      <w:lvlJc w:val="left"/>
      <w:pPr>
        <w:ind w:left="3600" w:hanging="360"/>
      </w:pPr>
    </w:lvl>
    <w:lvl w:ilvl="5" w:tplc="43CA3070">
      <w:start w:val="1"/>
      <w:numFmt w:val="lowerRoman"/>
      <w:lvlText w:val="%6."/>
      <w:lvlJc w:val="right"/>
      <w:pPr>
        <w:ind w:left="4320" w:hanging="180"/>
      </w:pPr>
    </w:lvl>
    <w:lvl w:ilvl="6" w:tplc="8EBC4AD4">
      <w:start w:val="1"/>
      <w:numFmt w:val="decimal"/>
      <w:lvlText w:val="%7."/>
      <w:lvlJc w:val="left"/>
      <w:pPr>
        <w:ind w:left="5040" w:hanging="360"/>
      </w:pPr>
    </w:lvl>
    <w:lvl w:ilvl="7" w:tplc="199E4726">
      <w:start w:val="1"/>
      <w:numFmt w:val="lowerLetter"/>
      <w:lvlText w:val="%8."/>
      <w:lvlJc w:val="left"/>
      <w:pPr>
        <w:ind w:left="5760" w:hanging="360"/>
      </w:pPr>
    </w:lvl>
    <w:lvl w:ilvl="8" w:tplc="082017D4">
      <w:start w:val="1"/>
      <w:numFmt w:val="lowerRoman"/>
      <w:lvlText w:val="%9."/>
      <w:lvlJc w:val="right"/>
      <w:pPr>
        <w:ind w:left="6480" w:hanging="180"/>
      </w:pPr>
    </w:lvl>
  </w:abstractNum>
  <w:abstractNum w:abstractNumId="5" w15:restartNumberingAfterBreak="0">
    <w:nsid w:val="0B7113C3"/>
    <w:multiLevelType w:val="hybridMultilevel"/>
    <w:tmpl w:val="5420E1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3A16B1"/>
    <w:multiLevelType w:val="hybridMultilevel"/>
    <w:tmpl w:val="559C9F2E"/>
    <w:lvl w:ilvl="0" w:tplc="FFFFFFFF">
      <w:start w:val="1"/>
      <w:numFmt w:val="decimal"/>
      <w:lvlText w:val="%1."/>
      <w:lvlJc w:val="left"/>
      <w:pPr>
        <w:ind w:left="720" w:hanging="360"/>
      </w:pPr>
    </w:lvl>
    <w:lvl w:ilvl="1" w:tplc="1C183BC4">
      <w:start w:val="1"/>
      <w:numFmt w:val="lowerLetter"/>
      <w:lvlText w:val="%2."/>
      <w:lvlJc w:val="left"/>
      <w:pPr>
        <w:ind w:left="1440" w:hanging="360"/>
      </w:pPr>
    </w:lvl>
    <w:lvl w:ilvl="2" w:tplc="258A61FA">
      <w:start w:val="1"/>
      <w:numFmt w:val="lowerRoman"/>
      <w:lvlText w:val="%3."/>
      <w:lvlJc w:val="right"/>
      <w:pPr>
        <w:ind w:left="2160" w:hanging="180"/>
      </w:pPr>
    </w:lvl>
    <w:lvl w:ilvl="3" w:tplc="3BC8E490">
      <w:start w:val="1"/>
      <w:numFmt w:val="decimal"/>
      <w:lvlText w:val="%4."/>
      <w:lvlJc w:val="left"/>
      <w:pPr>
        <w:ind w:left="2880" w:hanging="360"/>
      </w:pPr>
    </w:lvl>
    <w:lvl w:ilvl="4" w:tplc="E4B0D08E">
      <w:start w:val="1"/>
      <w:numFmt w:val="lowerLetter"/>
      <w:lvlText w:val="%5."/>
      <w:lvlJc w:val="left"/>
      <w:pPr>
        <w:ind w:left="3600" w:hanging="360"/>
      </w:pPr>
    </w:lvl>
    <w:lvl w:ilvl="5" w:tplc="88C43D46">
      <w:start w:val="1"/>
      <w:numFmt w:val="lowerRoman"/>
      <w:lvlText w:val="%6."/>
      <w:lvlJc w:val="right"/>
      <w:pPr>
        <w:ind w:left="4320" w:hanging="180"/>
      </w:pPr>
    </w:lvl>
    <w:lvl w:ilvl="6" w:tplc="1D406FD8">
      <w:start w:val="1"/>
      <w:numFmt w:val="decimal"/>
      <w:lvlText w:val="%7."/>
      <w:lvlJc w:val="left"/>
      <w:pPr>
        <w:ind w:left="5040" w:hanging="360"/>
      </w:pPr>
    </w:lvl>
    <w:lvl w:ilvl="7" w:tplc="18FCFACA">
      <w:start w:val="1"/>
      <w:numFmt w:val="lowerLetter"/>
      <w:lvlText w:val="%8."/>
      <w:lvlJc w:val="left"/>
      <w:pPr>
        <w:ind w:left="5760" w:hanging="360"/>
      </w:pPr>
    </w:lvl>
    <w:lvl w:ilvl="8" w:tplc="C42A1914">
      <w:start w:val="1"/>
      <w:numFmt w:val="lowerRoman"/>
      <w:lvlText w:val="%9."/>
      <w:lvlJc w:val="right"/>
      <w:pPr>
        <w:ind w:left="6480" w:hanging="180"/>
      </w:pPr>
    </w:lvl>
  </w:abstractNum>
  <w:abstractNum w:abstractNumId="7" w15:restartNumberingAfterBreak="0">
    <w:nsid w:val="107E5653"/>
    <w:multiLevelType w:val="multilevel"/>
    <w:tmpl w:val="FB7C6D7A"/>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1C034F57"/>
    <w:multiLevelType w:val="hybridMultilevel"/>
    <w:tmpl w:val="4880A4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48F322B"/>
    <w:multiLevelType w:val="hybridMultilevel"/>
    <w:tmpl w:val="D2382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53343"/>
    <w:multiLevelType w:val="hybridMultilevel"/>
    <w:tmpl w:val="8D04426E"/>
    <w:lvl w:ilvl="0" w:tplc="5D38BE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DB3103"/>
    <w:multiLevelType w:val="hybridMultilevel"/>
    <w:tmpl w:val="4C908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E31090"/>
    <w:multiLevelType w:val="hybridMultilevel"/>
    <w:tmpl w:val="53D43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68B4C2"/>
    <w:multiLevelType w:val="hybridMultilevel"/>
    <w:tmpl w:val="F6FCA830"/>
    <w:lvl w:ilvl="0" w:tplc="ECE0F726">
      <w:start w:val="1"/>
      <w:numFmt w:val="decimal"/>
      <w:lvlText w:val="%1."/>
      <w:lvlJc w:val="left"/>
      <w:pPr>
        <w:ind w:left="720" w:hanging="360"/>
      </w:pPr>
    </w:lvl>
    <w:lvl w:ilvl="1" w:tplc="0BD8A9E6">
      <w:start w:val="1"/>
      <w:numFmt w:val="lowerLetter"/>
      <w:lvlText w:val="%2."/>
      <w:lvlJc w:val="left"/>
      <w:pPr>
        <w:ind w:left="1440" w:hanging="360"/>
      </w:pPr>
    </w:lvl>
    <w:lvl w:ilvl="2" w:tplc="88EE7356">
      <w:start w:val="1"/>
      <w:numFmt w:val="lowerRoman"/>
      <w:lvlText w:val="%3."/>
      <w:lvlJc w:val="right"/>
      <w:pPr>
        <w:ind w:left="2160" w:hanging="180"/>
      </w:pPr>
    </w:lvl>
    <w:lvl w:ilvl="3" w:tplc="27E26020">
      <w:start w:val="1"/>
      <w:numFmt w:val="decimal"/>
      <w:lvlText w:val="%4."/>
      <w:lvlJc w:val="left"/>
      <w:pPr>
        <w:ind w:left="2880" w:hanging="360"/>
      </w:pPr>
    </w:lvl>
    <w:lvl w:ilvl="4" w:tplc="1FB84EFE">
      <w:start w:val="1"/>
      <w:numFmt w:val="lowerLetter"/>
      <w:lvlText w:val="%5."/>
      <w:lvlJc w:val="left"/>
      <w:pPr>
        <w:ind w:left="3600" w:hanging="360"/>
      </w:pPr>
    </w:lvl>
    <w:lvl w:ilvl="5" w:tplc="E5C423E6">
      <w:start w:val="1"/>
      <w:numFmt w:val="lowerRoman"/>
      <w:lvlText w:val="%6."/>
      <w:lvlJc w:val="right"/>
      <w:pPr>
        <w:ind w:left="4320" w:hanging="180"/>
      </w:pPr>
    </w:lvl>
    <w:lvl w:ilvl="6" w:tplc="A858C78E">
      <w:start w:val="1"/>
      <w:numFmt w:val="decimal"/>
      <w:lvlText w:val="%7."/>
      <w:lvlJc w:val="left"/>
      <w:pPr>
        <w:ind w:left="5040" w:hanging="360"/>
      </w:pPr>
    </w:lvl>
    <w:lvl w:ilvl="7" w:tplc="419ECAB0">
      <w:start w:val="1"/>
      <w:numFmt w:val="lowerLetter"/>
      <w:lvlText w:val="%8."/>
      <w:lvlJc w:val="left"/>
      <w:pPr>
        <w:ind w:left="5760" w:hanging="360"/>
      </w:pPr>
    </w:lvl>
    <w:lvl w:ilvl="8" w:tplc="45B49BB8">
      <w:start w:val="1"/>
      <w:numFmt w:val="lowerRoman"/>
      <w:lvlText w:val="%9."/>
      <w:lvlJc w:val="right"/>
      <w:pPr>
        <w:ind w:left="6480" w:hanging="180"/>
      </w:pPr>
    </w:lvl>
  </w:abstractNum>
  <w:abstractNum w:abstractNumId="14" w15:restartNumberingAfterBreak="0">
    <w:nsid w:val="37421F14"/>
    <w:multiLevelType w:val="hybridMultilevel"/>
    <w:tmpl w:val="E050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EFB29C"/>
    <w:multiLevelType w:val="hybridMultilevel"/>
    <w:tmpl w:val="7FCAFE6A"/>
    <w:lvl w:ilvl="0" w:tplc="B54E1412">
      <w:start w:val="1"/>
      <w:numFmt w:val="bullet"/>
      <w:lvlText w:val=""/>
      <w:lvlJc w:val="left"/>
      <w:pPr>
        <w:ind w:left="720" w:hanging="360"/>
      </w:pPr>
      <w:rPr>
        <w:rFonts w:ascii="Symbol" w:hAnsi="Symbol" w:hint="default"/>
      </w:rPr>
    </w:lvl>
    <w:lvl w:ilvl="1" w:tplc="605AB7FA">
      <w:start w:val="1"/>
      <w:numFmt w:val="bullet"/>
      <w:lvlText w:val="o"/>
      <w:lvlJc w:val="left"/>
      <w:pPr>
        <w:ind w:left="1440" w:hanging="360"/>
      </w:pPr>
      <w:rPr>
        <w:rFonts w:ascii="Courier New" w:hAnsi="Courier New" w:hint="default"/>
      </w:rPr>
    </w:lvl>
    <w:lvl w:ilvl="2" w:tplc="7796167A">
      <w:start w:val="1"/>
      <w:numFmt w:val="bullet"/>
      <w:lvlText w:val=""/>
      <w:lvlJc w:val="left"/>
      <w:pPr>
        <w:ind w:left="2160" w:hanging="360"/>
      </w:pPr>
      <w:rPr>
        <w:rFonts w:ascii="Wingdings" w:hAnsi="Wingdings" w:hint="default"/>
      </w:rPr>
    </w:lvl>
    <w:lvl w:ilvl="3" w:tplc="CCE2950A">
      <w:start w:val="1"/>
      <w:numFmt w:val="bullet"/>
      <w:lvlText w:val=""/>
      <w:lvlJc w:val="left"/>
      <w:pPr>
        <w:ind w:left="2880" w:hanging="360"/>
      </w:pPr>
      <w:rPr>
        <w:rFonts w:ascii="Symbol" w:hAnsi="Symbol" w:hint="default"/>
      </w:rPr>
    </w:lvl>
    <w:lvl w:ilvl="4" w:tplc="457C2504">
      <w:start w:val="1"/>
      <w:numFmt w:val="bullet"/>
      <w:lvlText w:val="o"/>
      <w:lvlJc w:val="left"/>
      <w:pPr>
        <w:ind w:left="3600" w:hanging="360"/>
      </w:pPr>
      <w:rPr>
        <w:rFonts w:ascii="Courier New" w:hAnsi="Courier New" w:hint="default"/>
      </w:rPr>
    </w:lvl>
    <w:lvl w:ilvl="5" w:tplc="97EE1E72">
      <w:start w:val="1"/>
      <w:numFmt w:val="bullet"/>
      <w:lvlText w:val=""/>
      <w:lvlJc w:val="left"/>
      <w:pPr>
        <w:ind w:left="4320" w:hanging="360"/>
      </w:pPr>
      <w:rPr>
        <w:rFonts w:ascii="Wingdings" w:hAnsi="Wingdings" w:hint="default"/>
      </w:rPr>
    </w:lvl>
    <w:lvl w:ilvl="6" w:tplc="567AEB1C">
      <w:start w:val="1"/>
      <w:numFmt w:val="bullet"/>
      <w:lvlText w:val=""/>
      <w:lvlJc w:val="left"/>
      <w:pPr>
        <w:ind w:left="5040" w:hanging="360"/>
      </w:pPr>
      <w:rPr>
        <w:rFonts w:ascii="Symbol" w:hAnsi="Symbol" w:hint="default"/>
      </w:rPr>
    </w:lvl>
    <w:lvl w:ilvl="7" w:tplc="2774E204">
      <w:start w:val="1"/>
      <w:numFmt w:val="bullet"/>
      <w:lvlText w:val="o"/>
      <w:lvlJc w:val="left"/>
      <w:pPr>
        <w:ind w:left="5760" w:hanging="360"/>
      </w:pPr>
      <w:rPr>
        <w:rFonts w:ascii="Courier New" w:hAnsi="Courier New" w:hint="default"/>
      </w:rPr>
    </w:lvl>
    <w:lvl w:ilvl="8" w:tplc="4EA69DBE">
      <w:start w:val="1"/>
      <w:numFmt w:val="bullet"/>
      <w:lvlText w:val=""/>
      <w:lvlJc w:val="left"/>
      <w:pPr>
        <w:ind w:left="6480" w:hanging="360"/>
      </w:pPr>
      <w:rPr>
        <w:rFonts w:ascii="Wingdings" w:hAnsi="Wingdings" w:hint="default"/>
      </w:rPr>
    </w:lvl>
  </w:abstractNum>
  <w:abstractNum w:abstractNumId="16" w15:restartNumberingAfterBreak="0">
    <w:nsid w:val="4021799E"/>
    <w:multiLevelType w:val="multilevel"/>
    <w:tmpl w:val="DDE4062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03E5DB3"/>
    <w:multiLevelType w:val="multilevel"/>
    <w:tmpl w:val="A890218A"/>
    <w:lvl w:ilvl="0">
      <w:start w:val="1"/>
      <w:numFmt w:val="decimal"/>
      <w:lvlText w:val="%1."/>
      <w:lvlJc w:val="left"/>
      <w:pPr>
        <w:ind w:left="360" w:hanging="360"/>
      </w:pPr>
      <w:rPr>
        <w:rFonts w:hint="default"/>
      </w:rPr>
    </w:lvl>
    <w:lvl w:ilvl="1">
      <w:start w:val="2"/>
      <w:numFmt w:val="decimal"/>
      <w:isLgl/>
      <w:lvlText w:val="%1.%2"/>
      <w:lvlJc w:val="left"/>
      <w:pPr>
        <w:ind w:left="450" w:hanging="45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40FFD89D"/>
    <w:multiLevelType w:val="hybridMultilevel"/>
    <w:tmpl w:val="90022298"/>
    <w:lvl w:ilvl="0" w:tplc="76C83292">
      <w:start w:val="1"/>
      <w:numFmt w:val="bullet"/>
      <w:lvlText w:val=""/>
      <w:lvlJc w:val="left"/>
      <w:pPr>
        <w:ind w:left="720" w:hanging="360"/>
      </w:pPr>
      <w:rPr>
        <w:rFonts w:ascii="Symbol" w:hAnsi="Symbol" w:hint="default"/>
      </w:rPr>
    </w:lvl>
    <w:lvl w:ilvl="1" w:tplc="7ED2CD38">
      <w:start w:val="1"/>
      <w:numFmt w:val="bullet"/>
      <w:lvlText w:val="o"/>
      <w:lvlJc w:val="left"/>
      <w:pPr>
        <w:ind w:left="1440" w:hanging="360"/>
      </w:pPr>
      <w:rPr>
        <w:rFonts w:ascii="Courier New" w:hAnsi="Courier New" w:hint="default"/>
      </w:rPr>
    </w:lvl>
    <w:lvl w:ilvl="2" w:tplc="73D67888">
      <w:start w:val="1"/>
      <w:numFmt w:val="bullet"/>
      <w:lvlText w:val=""/>
      <w:lvlJc w:val="left"/>
      <w:pPr>
        <w:ind w:left="2160" w:hanging="360"/>
      </w:pPr>
      <w:rPr>
        <w:rFonts w:ascii="Wingdings" w:hAnsi="Wingdings" w:hint="default"/>
      </w:rPr>
    </w:lvl>
    <w:lvl w:ilvl="3" w:tplc="7E889C74">
      <w:start w:val="1"/>
      <w:numFmt w:val="bullet"/>
      <w:lvlText w:val=""/>
      <w:lvlJc w:val="left"/>
      <w:pPr>
        <w:ind w:left="2880" w:hanging="360"/>
      </w:pPr>
      <w:rPr>
        <w:rFonts w:ascii="Symbol" w:hAnsi="Symbol" w:hint="default"/>
      </w:rPr>
    </w:lvl>
    <w:lvl w:ilvl="4" w:tplc="74823010">
      <w:start w:val="1"/>
      <w:numFmt w:val="bullet"/>
      <w:lvlText w:val="o"/>
      <w:lvlJc w:val="left"/>
      <w:pPr>
        <w:ind w:left="3600" w:hanging="360"/>
      </w:pPr>
      <w:rPr>
        <w:rFonts w:ascii="Courier New" w:hAnsi="Courier New" w:hint="default"/>
      </w:rPr>
    </w:lvl>
    <w:lvl w:ilvl="5" w:tplc="58728AFA">
      <w:start w:val="1"/>
      <w:numFmt w:val="bullet"/>
      <w:lvlText w:val=""/>
      <w:lvlJc w:val="left"/>
      <w:pPr>
        <w:ind w:left="4320" w:hanging="360"/>
      </w:pPr>
      <w:rPr>
        <w:rFonts w:ascii="Wingdings" w:hAnsi="Wingdings" w:hint="default"/>
      </w:rPr>
    </w:lvl>
    <w:lvl w:ilvl="6" w:tplc="444ED746">
      <w:start w:val="1"/>
      <w:numFmt w:val="bullet"/>
      <w:lvlText w:val=""/>
      <w:lvlJc w:val="left"/>
      <w:pPr>
        <w:ind w:left="5040" w:hanging="360"/>
      </w:pPr>
      <w:rPr>
        <w:rFonts w:ascii="Symbol" w:hAnsi="Symbol" w:hint="default"/>
      </w:rPr>
    </w:lvl>
    <w:lvl w:ilvl="7" w:tplc="3178169A">
      <w:start w:val="1"/>
      <w:numFmt w:val="bullet"/>
      <w:lvlText w:val="o"/>
      <w:lvlJc w:val="left"/>
      <w:pPr>
        <w:ind w:left="5760" w:hanging="360"/>
      </w:pPr>
      <w:rPr>
        <w:rFonts w:ascii="Courier New" w:hAnsi="Courier New" w:hint="default"/>
      </w:rPr>
    </w:lvl>
    <w:lvl w:ilvl="8" w:tplc="90908890">
      <w:start w:val="1"/>
      <w:numFmt w:val="bullet"/>
      <w:lvlText w:val=""/>
      <w:lvlJc w:val="left"/>
      <w:pPr>
        <w:ind w:left="6480" w:hanging="360"/>
      </w:pPr>
      <w:rPr>
        <w:rFonts w:ascii="Wingdings" w:hAnsi="Wingdings" w:hint="default"/>
      </w:rPr>
    </w:lvl>
  </w:abstractNum>
  <w:abstractNum w:abstractNumId="19" w15:restartNumberingAfterBreak="0">
    <w:nsid w:val="42D81CA5"/>
    <w:multiLevelType w:val="hybridMultilevel"/>
    <w:tmpl w:val="43383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D047F9"/>
    <w:multiLevelType w:val="hybridMultilevel"/>
    <w:tmpl w:val="92D69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611505"/>
    <w:multiLevelType w:val="hybridMultilevel"/>
    <w:tmpl w:val="B922D9F6"/>
    <w:lvl w:ilvl="0" w:tplc="33F215F4">
      <w:start w:val="1"/>
      <w:numFmt w:val="bullet"/>
      <w:lvlText w:val=""/>
      <w:lvlJc w:val="left"/>
      <w:pPr>
        <w:ind w:left="720" w:hanging="360"/>
      </w:pPr>
      <w:rPr>
        <w:rFonts w:ascii="Symbol" w:hAnsi="Symbol" w:hint="default"/>
      </w:rPr>
    </w:lvl>
    <w:lvl w:ilvl="1" w:tplc="B8647462">
      <w:start w:val="1"/>
      <w:numFmt w:val="bullet"/>
      <w:lvlText w:val="o"/>
      <w:lvlJc w:val="left"/>
      <w:pPr>
        <w:ind w:left="1440" w:hanging="360"/>
      </w:pPr>
      <w:rPr>
        <w:rFonts w:ascii="Courier New" w:hAnsi="Courier New" w:hint="default"/>
      </w:rPr>
    </w:lvl>
    <w:lvl w:ilvl="2" w:tplc="3BEE7890">
      <w:start w:val="1"/>
      <w:numFmt w:val="bullet"/>
      <w:lvlText w:val=""/>
      <w:lvlJc w:val="left"/>
      <w:pPr>
        <w:ind w:left="2160" w:hanging="360"/>
      </w:pPr>
      <w:rPr>
        <w:rFonts w:ascii="Wingdings" w:hAnsi="Wingdings" w:hint="default"/>
      </w:rPr>
    </w:lvl>
    <w:lvl w:ilvl="3" w:tplc="A6D0ED16">
      <w:start w:val="1"/>
      <w:numFmt w:val="bullet"/>
      <w:lvlText w:val=""/>
      <w:lvlJc w:val="left"/>
      <w:pPr>
        <w:ind w:left="2880" w:hanging="360"/>
      </w:pPr>
      <w:rPr>
        <w:rFonts w:ascii="Symbol" w:hAnsi="Symbol" w:hint="default"/>
      </w:rPr>
    </w:lvl>
    <w:lvl w:ilvl="4" w:tplc="0F7A28A0">
      <w:start w:val="1"/>
      <w:numFmt w:val="bullet"/>
      <w:lvlText w:val="o"/>
      <w:lvlJc w:val="left"/>
      <w:pPr>
        <w:ind w:left="3600" w:hanging="360"/>
      </w:pPr>
      <w:rPr>
        <w:rFonts w:ascii="Courier New" w:hAnsi="Courier New" w:hint="default"/>
      </w:rPr>
    </w:lvl>
    <w:lvl w:ilvl="5" w:tplc="D2A46ACE">
      <w:start w:val="1"/>
      <w:numFmt w:val="bullet"/>
      <w:lvlText w:val=""/>
      <w:lvlJc w:val="left"/>
      <w:pPr>
        <w:ind w:left="4320" w:hanging="360"/>
      </w:pPr>
      <w:rPr>
        <w:rFonts w:ascii="Wingdings" w:hAnsi="Wingdings" w:hint="default"/>
      </w:rPr>
    </w:lvl>
    <w:lvl w:ilvl="6" w:tplc="CBB2E4FA">
      <w:start w:val="1"/>
      <w:numFmt w:val="bullet"/>
      <w:lvlText w:val=""/>
      <w:lvlJc w:val="left"/>
      <w:pPr>
        <w:ind w:left="5040" w:hanging="360"/>
      </w:pPr>
      <w:rPr>
        <w:rFonts w:ascii="Symbol" w:hAnsi="Symbol" w:hint="default"/>
      </w:rPr>
    </w:lvl>
    <w:lvl w:ilvl="7" w:tplc="0D467D3E">
      <w:start w:val="1"/>
      <w:numFmt w:val="bullet"/>
      <w:lvlText w:val="o"/>
      <w:lvlJc w:val="left"/>
      <w:pPr>
        <w:ind w:left="5760" w:hanging="360"/>
      </w:pPr>
      <w:rPr>
        <w:rFonts w:ascii="Courier New" w:hAnsi="Courier New" w:hint="default"/>
      </w:rPr>
    </w:lvl>
    <w:lvl w:ilvl="8" w:tplc="2B5816C0">
      <w:start w:val="1"/>
      <w:numFmt w:val="bullet"/>
      <w:lvlText w:val=""/>
      <w:lvlJc w:val="left"/>
      <w:pPr>
        <w:ind w:left="6480" w:hanging="360"/>
      </w:pPr>
      <w:rPr>
        <w:rFonts w:ascii="Wingdings" w:hAnsi="Wingdings" w:hint="default"/>
      </w:rPr>
    </w:lvl>
  </w:abstractNum>
  <w:abstractNum w:abstractNumId="22" w15:restartNumberingAfterBreak="0">
    <w:nsid w:val="5B0A5B13"/>
    <w:multiLevelType w:val="multilevel"/>
    <w:tmpl w:val="4CC6A6FC"/>
    <w:lvl w:ilvl="0">
      <w:start w:val="3"/>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5FEE7E8E"/>
    <w:multiLevelType w:val="hybridMultilevel"/>
    <w:tmpl w:val="D110E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9E08CD"/>
    <w:multiLevelType w:val="hybridMultilevel"/>
    <w:tmpl w:val="DBFE3BEC"/>
    <w:lvl w:ilvl="0" w:tplc="1C228464">
      <w:start w:val="1"/>
      <w:numFmt w:val="decimal"/>
      <w:lvlText w:val="%1."/>
      <w:lvlJc w:val="left"/>
      <w:pPr>
        <w:ind w:left="720" w:hanging="360"/>
      </w:pPr>
    </w:lvl>
    <w:lvl w:ilvl="1" w:tplc="D60288B8">
      <w:start w:val="1"/>
      <w:numFmt w:val="lowerLetter"/>
      <w:lvlText w:val="%2."/>
      <w:lvlJc w:val="left"/>
      <w:pPr>
        <w:ind w:left="1440" w:hanging="360"/>
      </w:pPr>
    </w:lvl>
    <w:lvl w:ilvl="2" w:tplc="6B1C7CA6">
      <w:start w:val="1"/>
      <w:numFmt w:val="lowerRoman"/>
      <w:lvlText w:val="%3."/>
      <w:lvlJc w:val="right"/>
      <w:pPr>
        <w:ind w:left="2160" w:hanging="180"/>
      </w:pPr>
    </w:lvl>
    <w:lvl w:ilvl="3" w:tplc="65AE583E">
      <w:start w:val="1"/>
      <w:numFmt w:val="decimal"/>
      <w:lvlText w:val="%4."/>
      <w:lvlJc w:val="left"/>
      <w:pPr>
        <w:ind w:left="2880" w:hanging="360"/>
      </w:pPr>
    </w:lvl>
    <w:lvl w:ilvl="4" w:tplc="D4FED206">
      <w:start w:val="1"/>
      <w:numFmt w:val="lowerLetter"/>
      <w:lvlText w:val="%5."/>
      <w:lvlJc w:val="left"/>
      <w:pPr>
        <w:ind w:left="3600" w:hanging="360"/>
      </w:pPr>
    </w:lvl>
    <w:lvl w:ilvl="5" w:tplc="BC1AA8CC">
      <w:start w:val="1"/>
      <w:numFmt w:val="lowerRoman"/>
      <w:lvlText w:val="%6."/>
      <w:lvlJc w:val="right"/>
      <w:pPr>
        <w:ind w:left="4320" w:hanging="180"/>
      </w:pPr>
    </w:lvl>
    <w:lvl w:ilvl="6" w:tplc="1060B81C">
      <w:start w:val="1"/>
      <w:numFmt w:val="decimal"/>
      <w:lvlText w:val="%7."/>
      <w:lvlJc w:val="left"/>
      <w:pPr>
        <w:ind w:left="5040" w:hanging="360"/>
      </w:pPr>
    </w:lvl>
    <w:lvl w:ilvl="7" w:tplc="7884D87E">
      <w:start w:val="1"/>
      <w:numFmt w:val="lowerLetter"/>
      <w:lvlText w:val="%8."/>
      <w:lvlJc w:val="left"/>
      <w:pPr>
        <w:ind w:left="5760" w:hanging="360"/>
      </w:pPr>
    </w:lvl>
    <w:lvl w:ilvl="8" w:tplc="D7100556">
      <w:start w:val="1"/>
      <w:numFmt w:val="lowerRoman"/>
      <w:lvlText w:val="%9."/>
      <w:lvlJc w:val="right"/>
      <w:pPr>
        <w:ind w:left="6480" w:hanging="180"/>
      </w:pPr>
    </w:lvl>
  </w:abstractNum>
  <w:abstractNum w:abstractNumId="25" w15:restartNumberingAfterBreak="0">
    <w:nsid w:val="62CD12D6"/>
    <w:multiLevelType w:val="hybridMultilevel"/>
    <w:tmpl w:val="AEE8AC4A"/>
    <w:lvl w:ilvl="0" w:tplc="CAA014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71A1AFC"/>
    <w:multiLevelType w:val="hybridMultilevel"/>
    <w:tmpl w:val="DC58A70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6BC939A2"/>
    <w:multiLevelType w:val="hybridMultilevel"/>
    <w:tmpl w:val="85B8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DF1859"/>
    <w:multiLevelType w:val="multilevel"/>
    <w:tmpl w:val="74A4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0A3983"/>
    <w:multiLevelType w:val="multilevel"/>
    <w:tmpl w:val="38F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0D0443"/>
    <w:multiLevelType w:val="hybridMultilevel"/>
    <w:tmpl w:val="4E101C94"/>
    <w:lvl w:ilvl="0" w:tplc="AE72F5B2">
      <w:start w:val="1"/>
      <w:numFmt w:val="bullet"/>
      <w:lvlText w:val=""/>
      <w:lvlJc w:val="left"/>
      <w:pPr>
        <w:ind w:left="1080" w:hanging="360"/>
      </w:pPr>
      <w:rPr>
        <w:rFonts w:ascii="Symbol" w:hAnsi="Symbol" w:hint="default"/>
      </w:rPr>
    </w:lvl>
    <w:lvl w:ilvl="1" w:tplc="49B06B1A">
      <w:start w:val="1"/>
      <w:numFmt w:val="bullet"/>
      <w:lvlText w:val="o"/>
      <w:lvlJc w:val="left"/>
      <w:pPr>
        <w:ind w:left="1800" w:hanging="360"/>
      </w:pPr>
      <w:rPr>
        <w:rFonts w:ascii="Courier New" w:hAnsi="Courier New" w:hint="default"/>
      </w:rPr>
    </w:lvl>
    <w:lvl w:ilvl="2" w:tplc="4F1EC4D8">
      <w:start w:val="1"/>
      <w:numFmt w:val="bullet"/>
      <w:lvlText w:val=""/>
      <w:lvlJc w:val="left"/>
      <w:pPr>
        <w:ind w:left="2520" w:hanging="360"/>
      </w:pPr>
      <w:rPr>
        <w:rFonts w:ascii="Wingdings" w:hAnsi="Wingdings" w:hint="default"/>
      </w:rPr>
    </w:lvl>
    <w:lvl w:ilvl="3" w:tplc="4ED00D2C">
      <w:start w:val="1"/>
      <w:numFmt w:val="bullet"/>
      <w:lvlText w:val=""/>
      <w:lvlJc w:val="left"/>
      <w:pPr>
        <w:ind w:left="3240" w:hanging="360"/>
      </w:pPr>
      <w:rPr>
        <w:rFonts w:ascii="Symbol" w:hAnsi="Symbol" w:hint="default"/>
      </w:rPr>
    </w:lvl>
    <w:lvl w:ilvl="4" w:tplc="C37034A4">
      <w:start w:val="1"/>
      <w:numFmt w:val="bullet"/>
      <w:lvlText w:val="o"/>
      <w:lvlJc w:val="left"/>
      <w:pPr>
        <w:ind w:left="3960" w:hanging="360"/>
      </w:pPr>
      <w:rPr>
        <w:rFonts w:ascii="Courier New" w:hAnsi="Courier New" w:hint="default"/>
      </w:rPr>
    </w:lvl>
    <w:lvl w:ilvl="5" w:tplc="EA4C1D5C">
      <w:start w:val="1"/>
      <w:numFmt w:val="bullet"/>
      <w:lvlText w:val=""/>
      <w:lvlJc w:val="left"/>
      <w:pPr>
        <w:ind w:left="4680" w:hanging="360"/>
      </w:pPr>
      <w:rPr>
        <w:rFonts w:ascii="Wingdings" w:hAnsi="Wingdings" w:hint="default"/>
      </w:rPr>
    </w:lvl>
    <w:lvl w:ilvl="6" w:tplc="DAE2AF28">
      <w:start w:val="1"/>
      <w:numFmt w:val="bullet"/>
      <w:lvlText w:val=""/>
      <w:lvlJc w:val="left"/>
      <w:pPr>
        <w:ind w:left="5400" w:hanging="360"/>
      </w:pPr>
      <w:rPr>
        <w:rFonts w:ascii="Symbol" w:hAnsi="Symbol" w:hint="default"/>
      </w:rPr>
    </w:lvl>
    <w:lvl w:ilvl="7" w:tplc="05B68C30">
      <w:start w:val="1"/>
      <w:numFmt w:val="bullet"/>
      <w:lvlText w:val="o"/>
      <w:lvlJc w:val="left"/>
      <w:pPr>
        <w:ind w:left="6120" w:hanging="360"/>
      </w:pPr>
      <w:rPr>
        <w:rFonts w:ascii="Courier New" w:hAnsi="Courier New" w:hint="default"/>
      </w:rPr>
    </w:lvl>
    <w:lvl w:ilvl="8" w:tplc="8B7691D0">
      <w:start w:val="1"/>
      <w:numFmt w:val="bullet"/>
      <w:lvlText w:val=""/>
      <w:lvlJc w:val="left"/>
      <w:pPr>
        <w:ind w:left="6840" w:hanging="360"/>
      </w:pPr>
      <w:rPr>
        <w:rFonts w:ascii="Wingdings" w:hAnsi="Wingdings" w:hint="default"/>
      </w:rPr>
    </w:lvl>
  </w:abstractNum>
  <w:abstractNum w:abstractNumId="31" w15:restartNumberingAfterBreak="0">
    <w:nsid w:val="709D05E3"/>
    <w:multiLevelType w:val="hybridMultilevel"/>
    <w:tmpl w:val="4FF27A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BC74C1"/>
    <w:multiLevelType w:val="hybridMultilevel"/>
    <w:tmpl w:val="E362D7FE"/>
    <w:lvl w:ilvl="0" w:tplc="AA6803E2">
      <w:start w:val="1"/>
      <w:numFmt w:val="bullet"/>
      <w:lvlText w:val=""/>
      <w:lvlJc w:val="left"/>
      <w:pPr>
        <w:ind w:left="720" w:hanging="360"/>
      </w:pPr>
      <w:rPr>
        <w:rFonts w:ascii="Symbol" w:hAnsi="Symbol" w:hint="default"/>
      </w:rPr>
    </w:lvl>
    <w:lvl w:ilvl="1" w:tplc="4664F25A">
      <w:start w:val="1"/>
      <w:numFmt w:val="bullet"/>
      <w:lvlText w:val="o"/>
      <w:lvlJc w:val="left"/>
      <w:pPr>
        <w:ind w:left="1440" w:hanging="360"/>
      </w:pPr>
      <w:rPr>
        <w:rFonts w:ascii="Courier New" w:hAnsi="Courier New" w:hint="default"/>
      </w:rPr>
    </w:lvl>
    <w:lvl w:ilvl="2" w:tplc="0A98D4B2">
      <w:start w:val="1"/>
      <w:numFmt w:val="bullet"/>
      <w:lvlText w:val=""/>
      <w:lvlJc w:val="left"/>
      <w:pPr>
        <w:ind w:left="2160" w:hanging="360"/>
      </w:pPr>
      <w:rPr>
        <w:rFonts w:ascii="Wingdings" w:hAnsi="Wingdings" w:hint="default"/>
      </w:rPr>
    </w:lvl>
    <w:lvl w:ilvl="3" w:tplc="6EE0E7BE">
      <w:start w:val="1"/>
      <w:numFmt w:val="bullet"/>
      <w:lvlText w:val=""/>
      <w:lvlJc w:val="left"/>
      <w:pPr>
        <w:ind w:left="2880" w:hanging="360"/>
      </w:pPr>
      <w:rPr>
        <w:rFonts w:ascii="Symbol" w:hAnsi="Symbol" w:hint="default"/>
      </w:rPr>
    </w:lvl>
    <w:lvl w:ilvl="4" w:tplc="E6943F38">
      <w:start w:val="1"/>
      <w:numFmt w:val="bullet"/>
      <w:lvlText w:val="o"/>
      <w:lvlJc w:val="left"/>
      <w:pPr>
        <w:ind w:left="3600" w:hanging="360"/>
      </w:pPr>
      <w:rPr>
        <w:rFonts w:ascii="Courier New" w:hAnsi="Courier New" w:hint="default"/>
      </w:rPr>
    </w:lvl>
    <w:lvl w:ilvl="5" w:tplc="AFE438E0">
      <w:start w:val="1"/>
      <w:numFmt w:val="bullet"/>
      <w:lvlText w:val=""/>
      <w:lvlJc w:val="left"/>
      <w:pPr>
        <w:ind w:left="4320" w:hanging="360"/>
      </w:pPr>
      <w:rPr>
        <w:rFonts w:ascii="Wingdings" w:hAnsi="Wingdings" w:hint="default"/>
      </w:rPr>
    </w:lvl>
    <w:lvl w:ilvl="6" w:tplc="37449EB6">
      <w:start w:val="1"/>
      <w:numFmt w:val="bullet"/>
      <w:lvlText w:val=""/>
      <w:lvlJc w:val="left"/>
      <w:pPr>
        <w:ind w:left="5040" w:hanging="360"/>
      </w:pPr>
      <w:rPr>
        <w:rFonts w:ascii="Symbol" w:hAnsi="Symbol" w:hint="default"/>
      </w:rPr>
    </w:lvl>
    <w:lvl w:ilvl="7" w:tplc="48C895C0">
      <w:start w:val="1"/>
      <w:numFmt w:val="bullet"/>
      <w:lvlText w:val="o"/>
      <w:lvlJc w:val="left"/>
      <w:pPr>
        <w:ind w:left="5760" w:hanging="360"/>
      </w:pPr>
      <w:rPr>
        <w:rFonts w:ascii="Courier New" w:hAnsi="Courier New" w:hint="default"/>
      </w:rPr>
    </w:lvl>
    <w:lvl w:ilvl="8" w:tplc="5C78CC38">
      <w:start w:val="1"/>
      <w:numFmt w:val="bullet"/>
      <w:lvlText w:val=""/>
      <w:lvlJc w:val="left"/>
      <w:pPr>
        <w:ind w:left="6480" w:hanging="360"/>
      </w:pPr>
      <w:rPr>
        <w:rFonts w:ascii="Wingdings" w:hAnsi="Wingdings" w:hint="default"/>
      </w:rPr>
    </w:lvl>
  </w:abstractNum>
  <w:abstractNum w:abstractNumId="33" w15:restartNumberingAfterBreak="0">
    <w:nsid w:val="78B9CBC3"/>
    <w:multiLevelType w:val="hybridMultilevel"/>
    <w:tmpl w:val="1F9AB728"/>
    <w:lvl w:ilvl="0" w:tplc="FE1AE67A">
      <w:start w:val="1"/>
      <w:numFmt w:val="bullet"/>
      <w:lvlText w:val=""/>
      <w:lvlJc w:val="left"/>
      <w:pPr>
        <w:ind w:left="720" w:hanging="360"/>
      </w:pPr>
      <w:rPr>
        <w:rFonts w:ascii="Wingdings" w:hAnsi="Wingdings" w:hint="default"/>
      </w:rPr>
    </w:lvl>
    <w:lvl w:ilvl="1" w:tplc="74069E0A">
      <w:start w:val="1"/>
      <w:numFmt w:val="bullet"/>
      <w:lvlText w:val=""/>
      <w:lvlJc w:val="left"/>
      <w:pPr>
        <w:ind w:left="1440" w:hanging="360"/>
      </w:pPr>
      <w:rPr>
        <w:rFonts w:ascii="Wingdings" w:hAnsi="Wingdings" w:hint="default"/>
      </w:rPr>
    </w:lvl>
    <w:lvl w:ilvl="2" w:tplc="81C4DD88">
      <w:start w:val="1"/>
      <w:numFmt w:val="bullet"/>
      <w:lvlText w:val=""/>
      <w:lvlJc w:val="left"/>
      <w:pPr>
        <w:ind w:left="2160" w:hanging="360"/>
      </w:pPr>
      <w:rPr>
        <w:rFonts w:ascii="Wingdings" w:hAnsi="Wingdings" w:hint="default"/>
      </w:rPr>
    </w:lvl>
    <w:lvl w:ilvl="3" w:tplc="331E8650">
      <w:start w:val="1"/>
      <w:numFmt w:val="bullet"/>
      <w:lvlText w:val=""/>
      <w:lvlJc w:val="left"/>
      <w:pPr>
        <w:ind w:left="2880" w:hanging="360"/>
      </w:pPr>
      <w:rPr>
        <w:rFonts w:ascii="Wingdings" w:hAnsi="Wingdings" w:hint="default"/>
      </w:rPr>
    </w:lvl>
    <w:lvl w:ilvl="4" w:tplc="4BF8C8D4">
      <w:start w:val="1"/>
      <w:numFmt w:val="bullet"/>
      <w:lvlText w:val=""/>
      <w:lvlJc w:val="left"/>
      <w:pPr>
        <w:ind w:left="3600" w:hanging="360"/>
      </w:pPr>
      <w:rPr>
        <w:rFonts w:ascii="Wingdings" w:hAnsi="Wingdings" w:hint="default"/>
      </w:rPr>
    </w:lvl>
    <w:lvl w:ilvl="5" w:tplc="00A88416">
      <w:start w:val="1"/>
      <w:numFmt w:val="bullet"/>
      <w:lvlText w:val=""/>
      <w:lvlJc w:val="left"/>
      <w:pPr>
        <w:ind w:left="4320" w:hanging="360"/>
      </w:pPr>
      <w:rPr>
        <w:rFonts w:ascii="Wingdings" w:hAnsi="Wingdings" w:hint="default"/>
      </w:rPr>
    </w:lvl>
    <w:lvl w:ilvl="6" w:tplc="BB7C1E28">
      <w:start w:val="1"/>
      <w:numFmt w:val="bullet"/>
      <w:lvlText w:val=""/>
      <w:lvlJc w:val="left"/>
      <w:pPr>
        <w:ind w:left="5040" w:hanging="360"/>
      </w:pPr>
      <w:rPr>
        <w:rFonts w:ascii="Wingdings" w:hAnsi="Wingdings" w:hint="default"/>
      </w:rPr>
    </w:lvl>
    <w:lvl w:ilvl="7" w:tplc="2E1C67D0">
      <w:start w:val="1"/>
      <w:numFmt w:val="bullet"/>
      <w:lvlText w:val=""/>
      <w:lvlJc w:val="left"/>
      <w:pPr>
        <w:ind w:left="5760" w:hanging="360"/>
      </w:pPr>
      <w:rPr>
        <w:rFonts w:ascii="Wingdings" w:hAnsi="Wingdings" w:hint="default"/>
      </w:rPr>
    </w:lvl>
    <w:lvl w:ilvl="8" w:tplc="13CCBFFC">
      <w:start w:val="1"/>
      <w:numFmt w:val="bullet"/>
      <w:lvlText w:val=""/>
      <w:lvlJc w:val="left"/>
      <w:pPr>
        <w:ind w:left="6480" w:hanging="360"/>
      </w:pPr>
      <w:rPr>
        <w:rFonts w:ascii="Wingdings" w:hAnsi="Wingdings" w:hint="default"/>
      </w:rPr>
    </w:lvl>
  </w:abstractNum>
  <w:abstractNum w:abstractNumId="34" w15:restartNumberingAfterBreak="0">
    <w:nsid w:val="78F233C6"/>
    <w:multiLevelType w:val="hybridMultilevel"/>
    <w:tmpl w:val="2BFCAF3C"/>
    <w:lvl w:ilvl="0" w:tplc="F828C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A11AF1A"/>
    <w:multiLevelType w:val="hybridMultilevel"/>
    <w:tmpl w:val="712C0B30"/>
    <w:lvl w:ilvl="0" w:tplc="80468670">
      <w:start w:val="1"/>
      <w:numFmt w:val="decimal"/>
      <w:lvlText w:val="%1."/>
      <w:lvlJc w:val="left"/>
      <w:pPr>
        <w:ind w:left="720" w:hanging="360"/>
      </w:pPr>
    </w:lvl>
    <w:lvl w:ilvl="1" w:tplc="F5380C4E">
      <w:start w:val="1"/>
      <w:numFmt w:val="lowerLetter"/>
      <w:lvlText w:val="%2."/>
      <w:lvlJc w:val="left"/>
      <w:pPr>
        <w:ind w:left="1440" w:hanging="360"/>
      </w:pPr>
    </w:lvl>
    <w:lvl w:ilvl="2" w:tplc="7BB2E5E6">
      <w:start w:val="1"/>
      <w:numFmt w:val="lowerRoman"/>
      <w:lvlText w:val="%3."/>
      <w:lvlJc w:val="right"/>
      <w:pPr>
        <w:ind w:left="2160" w:hanging="180"/>
      </w:pPr>
    </w:lvl>
    <w:lvl w:ilvl="3" w:tplc="23BE87E4">
      <w:start w:val="1"/>
      <w:numFmt w:val="decimal"/>
      <w:lvlText w:val="%4."/>
      <w:lvlJc w:val="left"/>
      <w:pPr>
        <w:ind w:left="2880" w:hanging="360"/>
      </w:pPr>
    </w:lvl>
    <w:lvl w:ilvl="4" w:tplc="9C06173C">
      <w:start w:val="1"/>
      <w:numFmt w:val="lowerLetter"/>
      <w:lvlText w:val="%5."/>
      <w:lvlJc w:val="left"/>
      <w:pPr>
        <w:ind w:left="3600" w:hanging="360"/>
      </w:pPr>
    </w:lvl>
    <w:lvl w:ilvl="5" w:tplc="B4128F38">
      <w:start w:val="1"/>
      <w:numFmt w:val="lowerRoman"/>
      <w:lvlText w:val="%6."/>
      <w:lvlJc w:val="right"/>
      <w:pPr>
        <w:ind w:left="4320" w:hanging="180"/>
      </w:pPr>
    </w:lvl>
    <w:lvl w:ilvl="6" w:tplc="FD02FF32">
      <w:start w:val="1"/>
      <w:numFmt w:val="decimal"/>
      <w:lvlText w:val="%7."/>
      <w:lvlJc w:val="left"/>
      <w:pPr>
        <w:ind w:left="5040" w:hanging="360"/>
      </w:pPr>
    </w:lvl>
    <w:lvl w:ilvl="7" w:tplc="C73CD6B4">
      <w:start w:val="1"/>
      <w:numFmt w:val="lowerLetter"/>
      <w:lvlText w:val="%8."/>
      <w:lvlJc w:val="left"/>
      <w:pPr>
        <w:ind w:left="5760" w:hanging="360"/>
      </w:pPr>
    </w:lvl>
    <w:lvl w:ilvl="8" w:tplc="6DD61B7A">
      <w:start w:val="1"/>
      <w:numFmt w:val="lowerRoman"/>
      <w:lvlText w:val="%9."/>
      <w:lvlJc w:val="right"/>
      <w:pPr>
        <w:ind w:left="6480" w:hanging="180"/>
      </w:pPr>
    </w:lvl>
  </w:abstractNum>
  <w:num w:numId="1" w16cid:durableId="746996604">
    <w:abstractNumId w:val="4"/>
  </w:num>
  <w:num w:numId="2" w16cid:durableId="1470436956">
    <w:abstractNumId w:val="21"/>
  </w:num>
  <w:num w:numId="3" w16cid:durableId="1001859582">
    <w:abstractNumId w:val="30"/>
  </w:num>
  <w:num w:numId="4" w16cid:durableId="598874880">
    <w:abstractNumId w:val="13"/>
  </w:num>
  <w:num w:numId="5" w16cid:durableId="1480153666">
    <w:abstractNumId w:val="24"/>
  </w:num>
  <w:num w:numId="6" w16cid:durableId="248580681">
    <w:abstractNumId w:val="35"/>
  </w:num>
  <w:num w:numId="7" w16cid:durableId="361440754">
    <w:abstractNumId w:val="2"/>
  </w:num>
  <w:num w:numId="8" w16cid:durableId="624701484">
    <w:abstractNumId w:val="32"/>
  </w:num>
  <w:num w:numId="9" w16cid:durableId="1784837028">
    <w:abstractNumId w:val="18"/>
  </w:num>
  <w:num w:numId="10" w16cid:durableId="973368844">
    <w:abstractNumId w:val="15"/>
  </w:num>
  <w:num w:numId="11" w16cid:durableId="1085491551">
    <w:abstractNumId w:val="7"/>
  </w:num>
  <w:num w:numId="12" w16cid:durableId="1124233305">
    <w:abstractNumId w:val="22"/>
  </w:num>
  <w:num w:numId="13" w16cid:durableId="136265841">
    <w:abstractNumId w:val="28"/>
  </w:num>
  <w:num w:numId="14" w16cid:durableId="1512527394">
    <w:abstractNumId w:val="5"/>
  </w:num>
  <w:num w:numId="15" w16cid:durableId="1736393980">
    <w:abstractNumId w:val="31"/>
  </w:num>
  <w:num w:numId="16" w16cid:durableId="202788505">
    <w:abstractNumId w:val="3"/>
  </w:num>
  <w:num w:numId="17" w16cid:durableId="2145348984">
    <w:abstractNumId w:val="26"/>
  </w:num>
  <w:num w:numId="18" w16cid:durableId="257714926">
    <w:abstractNumId w:val="16"/>
  </w:num>
  <w:num w:numId="19" w16cid:durableId="568075584">
    <w:abstractNumId w:val="19"/>
  </w:num>
  <w:num w:numId="20" w16cid:durableId="725297335">
    <w:abstractNumId w:val="33"/>
  </w:num>
  <w:num w:numId="21" w16cid:durableId="875896947">
    <w:abstractNumId w:val="6"/>
  </w:num>
  <w:num w:numId="22" w16cid:durableId="98457072">
    <w:abstractNumId w:val="8"/>
  </w:num>
  <w:num w:numId="23" w16cid:durableId="158159666">
    <w:abstractNumId w:val="27"/>
  </w:num>
  <w:num w:numId="24" w16cid:durableId="37750698">
    <w:abstractNumId w:val="9"/>
  </w:num>
  <w:num w:numId="25" w16cid:durableId="1187449319">
    <w:abstractNumId w:val="1"/>
  </w:num>
  <w:num w:numId="26" w16cid:durableId="1629900005">
    <w:abstractNumId w:val="14"/>
  </w:num>
  <w:num w:numId="27" w16cid:durableId="994916784">
    <w:abstractNumId w:val="23"/>
  </w:num>
  <w:num w:numId="28" w16cid:durableId="1653677282">
    <w:abstractNumId w:val="10"/>
  </w:num>
  <w:num w:numId="29" w16cid:durableId="185532829">
    <w:abstractNumId w:val="0"/>
  </w:num>
  <w:num w:numId="30" w16cid:durableId="884103256">
    <w:abstractNumId w:val="25"/>
  </w:num>
  <w:num w:numId="31" w16cid:durableId="431820643">
    <w:abstractNumId w:val="34"/>
  </w:num>
  <w:num w:numId="32" w16cid:durableId="1142233475">
    <w:abstractNumId w:val="17"/>
  </w:num>
  <w:num w:numId="33" w16cid:durableId="1704091806">
    <w:abstractNumId w:val="20"/>
  </w:num>
  <w:num w:numId="34" w16cid:durableId="1547638526">
    <w:abstractNumId w:val="12"/>
  </w:num>
  <w:num w:numId="35" w16cid:durableId="404685479">
    <w:abstractNumId w:val="29"/>
  </w:num>
  <w:num w:numId="36" w16cid:durableId="18751182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2F8"/>
    <w:rsid w:val="000022B5"/>
    <w:rsid w:val="00003390"/>
    <w:rsid w:val="00005A61"/>
    <w:rsid w:val="0000624E"/>
    <w:rsid w:val="00006D7A"/>
    <w:rsid w:val="00007BFE"/>
    <w:rsid w:val="00016D92"/>
    <w:rsid w:val="00036F6C"/>
    <w:rsid w:val="000405BC"/>
    <w:rsid w:val="00041A0B"/>
    <w:rsid w:val="00052DFE"/>
    <w:rsid w:val="00054101"/>
    <w:rsid w:val="00054C28"/>
    <w:rsid w:val="00054DF7"/>
    <w:rsid w:val="0005535E"/>
    <w:rsid w:val="000614DF"/>
    <w:rsid w:val="00065893"/>
    <w:rsid w:val="000660AD"/>
    <w:rsid w:val="0007039D"/>
    <w:rsid w:val="00070D3A"/>
    <w:rsid w:val="000770C3"/>
    <w:rsid w:val="00082730"/>
    <w:rsid w:val="000862E3"/>
    <w:rsid w:val="0009190F"/>
    <w:rsid w:val="000A30D5"/>
    <w:rsid w:val="000A4710"/>
    <w:rsid w:val="000A71BC"/>
    <w:rsid w:val="000A79ED"/>
    <w:rsid w:val="000B301E"/>
    <w:rsid w:val="000B37D3"/>
    <w:rsid w:val="000B3D90"/>
    <w:rsid w:val="000B5C2A"/>
    <w:rsid w:val="000B63CA"/>
    <w:rsid w:val="000C2F25"/>
    <w:rsid w:val="000C4CA6"/>
    <w:rsid w:val="000D57A6"/>
    <w:rsid w:val="000D7F68"/>
    <w:rsid w:val="000E347F"/>
    <w:rsid w:val="000E388C"/>
    <w:rsid w:val="000E6BB9"/>
    <w:rsid w:val="000E75A5"/>
    <w:rsid w:val="000E7741"/>
    <w:rsid w:val="000E7E88"/>
    <w:rsid w:val="000F15FF"/>
    <w:rsid w:val="000F2BA3"/>
    <w:rsid w:val="000F362E"/>
    <w:rsid w:val="000F3B45"/>
    <w:rsid w:val="000F4147"/>
    <w:rsid w:val="000F6A92"/>
    <w:rsid w:val="000F6C4D"/>
    <w:rsid w:val="000F74A9"/>
    <w:rsid w:val="00115634"/>
    <w:rsid w:val="00126481"/>
    <w:rsid w:val="0013026F"/>
    <w:rsid w:val="00131B9B"/>
    <w:rsid w:val="00133EFD"/>
    <w:rsid w:val="001343B9"/>
    <w:rsid w:val="0014222B"/>
    <w:rsid w:val="00144493"/>
    <w:rsid w:val="00144F3F"/>
    <w:rsid w:val="0015202E"/>
    <w:rsid w:val="00154CB6"/>
    <w:rsid w:val="00157F76"/>
    <w:rsid w:val="00162682"/>
    <w:rsid w:val="00171CB6"/>
    <w:rsid w:val="001742FA"/>
    <w:rsid w:val="00174BEB"/>
    <w:rsid w:val="00177549"/>
    <w:rsid w:val="00182E11"/>
    <w:rsid w:val="001879CF"/>
    <w:rsid w:val="001909C6"/>
    <w:rsid w:val="001914E2"/>
    <w:rsid w:val="00191CA3"/>
    <w:rsid w:val="001936FA"/>
    <w:rsid w:val="00193F2E"/>
    <w:rsid w:val="0019465C"/>
    <w:rsid w:val="001946F8"/>
    <w:rsid w:val="001959B2"/>
    <w:rsid w:val="00195AD1"/>
    <w:rsid w:val="001B1E76"/>
    <w:rsid w:val="001B2DB2"/>
    <w:rsid w:val="001B4E18"/>
    <w:rsid w:val="001C11AD"/>
    <w:rsid w:val="001C4429"/>
    <w:rsid w:val="001C670C"/>
    <w:rsid w:val="001C72D8"/>
    <w:rsid w:val="001D262C"/>
    <w:rsid w:val="001D6C79"/>
    <w:rsid w:val="001E384E"/>
    <w:rsid w:val="001E3BF1"/>
    <w:rsid w:val="001F2A81"/>
    <w:rsid w:val="001F47B3"/>
    <w:rsid w:val="001F6D2E"/>
    <w:rsid w:val="001F7BB4"/>
    <w:rsid w:val="00211B65"/>
    <w:rsid w:val="0021257E"/>
    <w:rsid w:val="00221591"/>
    <w:rsid w:val="00226406"/>
    <w:rsid w:val="0023192A"/>
    <w:rsid w:val="0023252C"/>
    <w:rsid w:val="00233646"/>
    <w:rsid w:val="002453BB"/>
    <w:rsid w:val="002466A9"/>
    <w:rsid w:val="002478DA"/>
    <w:rsid w:val="002507D9"/>
    <w:rsid w:val="00250D85"/>
    <w:rsid w:val="00266848"/>
    <w:rsid w:val="00266BD0"/>
    <w:rsid w:val="00266F0F"/>
    <w:rsid w:val="002719DE"/>
    <w:rsid w:val="00271A0C"/>
    <w:rsid w:val="00273FAC"/>
    <w:rsid w:val="002742D6"/>
    <w:rsid w:val="0028328C"/>
    <w:rsid w:val="0028533A"/>
    <w:rsid w:val="002876F7"/>
    <w:rsid w:val="002962AF"/>
    <w:rsid w:val="002A0532"/>
    <w:rsid w:val="002A3519"/>
    <w:rsid w:val="002A37B0"/>
    <w:rsid w:val="002A4292"/>
    <w:rsid w:val="002A5F4D"/>
    <w:rsid w:val="002A6530"/>
    <w:rsid w:val="002A7A91"/>
    <w:rsid w:val="002B06A3"/>
    <w:rsid w:val="002B0A3F"/>
    <w:rsid w:val="002B2534"/>
    <w:rsid w:val="002B334B"/>
    <w:rsid w:val="002B4ADE"/>
    <w:rsid w:val="002B5391"/>
    <w:rsid w:val="002B7516"/>
    <w:rsid w:val="002D0DCA"/>
    <w:rsid w:val="002D6374"/>
    <w:rsid w:val="002F2EE7"/>
    <w:rsid w:val="002F3F78"/>
    <w:rsid w:val="00301FBC"/>
    <w:rsid w:val="00302093"/>
    <w:rsid w:val="0030377B"/>
    <w:rsid w:val="00306906"/>
    <w:rsid w:val="00307C1F"/>
    <w:rsid w:val="00313D2F"/>
    <w:rsid w:val="00321013"/>
    <w:rsid w:val="00324468"/>
    <w:rsid w:val="00332C35"/>
    <w:rsid w:val="0033674F"/>
    <w:rsid w:val="00341711"/>
    <w:rsid w:val="00344E68"/>
    <w:rsid w:val="003455E2"/>
    <w:rsid w:val="00345EAE"/>
    <w:rsid w:val="0034616F"/>
    <w:rsid w:val="00353452"/>
    <w:rsid w:val="00367CBA"/>
    <w:rsid w:val="00374342"/>
    <w:rsid w:val="003911AD"/>
    <w:rsid w:val="003932E5"/>
    <w:rsid w:val="003A4153"/>
    <w:rsid w:val="003A6194"/>
    <w:rsid w:val="003B27E8"/>
    <w:rsid w:val="003B74F2"/>
    <w:rsid w:val="003C1716"/>
    <w:rsid w:val="003C2C4C"/>
    <w:rsid w:val="003C5CB8"/>
    <w:rsid w:val="003C650A"/>
    <w:rsid w:val="003C6CC1"/>
    <w:rsid w:val="003D48B9"/>
    <w:rsid w:val="003D560A"/>
    <w:rsid w:val="003D6579"/>
    <w:rsid w:val="003E055C"/>
    <w:rsid w:val="003E1F67"/>
    <w:rsid w:val="003F66C2"/>
    <w:rsid w:val="004023AA"/>
    <w:rsid w:val="00405790"/>
    <w:rsid w:val="00405C88"/>
    <w:rsid w:val="004068E5"/>
    <w:rsid w:val="004101EE"/>
    <w:rsid w:val="0041375E"/>
    <w:rsid w:val="0042029F"/>
    <w:rsid w:val="00422C79"/>
    <w:rsid w:val="00426061"/>
    <w:rsid w:val="00427A6E"/>
    <w:rsid w:val="00427A8C"/>
    <w:rsid w:val="0043138B"/>
    <w:rsid w:val="004340D3"/>
    <w:rsid w:val="0043683D"/>
    <w:rsid w:val="00441E11"/>
    <w:rsid w:val="0044252D"/>
    <w:rsid w:val="004448E0"/>
    <w:rsid w:val="00445576"/>
    <w:rsid w:val="004457FA"/>
    <w:rsid w:val="00445EAA"/>
    <w:rsid w:val="00451518"/>
    <w:rsid w:val="00455742"/>
    <w:rsid w:val="004667BF"/>
    <w:rsid w:val="004667F6"/>
    <w:rsid w:val="004672A6"/>
    <w:rsid w:val="004673CA"/>
    <w:rsid w:val="00467A19"/>
    <w:rsid w:val="00472C10"/>
    <w:rsid w:val="0047382F"/>
    <w:rsid w:val="00480BBE"/>
    <w:rsid w:val="00481E21"/>
    <w:rsid w:val="0049301F"/>
    <w:rsid w:val="00496937"/>
    <w:rsid w:val="004A4F3A"/>
    <w:rsid w:val="004A785E"/>
    <w:rsid w:val="004B039C"/>
    <w:rsid w:val="004B0CA4"/>
    <w:rsid w:val="004B3520"/>
    <w:rsid w:val="004B6129"/>
    <w:rsid w:val="004C7116"/>
    <w:rsid w:val="004D5D48"/>
    <w:rsid w:val="004E7D08"/>
    <w:rsid w:val="004F2CEA"/>
    <w:rsid w:val="004F6915"/>
    <w:rsid w:val="004F7440"/>
    <w:rsid w:val="0051066F"/>
    <w:rsid w:val="005259A0"/>
    <w:rsid w:val="00526869"/>
    <w:rsid w:val="0053045F"/>
    <w:rsid w:val="00536528"/>
    <w:rsid w:val="00540C88"/>
    <w:rsid w:val="005450FB"/>
    <w:rsid w:val="00550BE9"/>
    <w:rsid w:val="00551EB1"/>
    <w:rsid w:val="005529C2"/>
    <w:rsid w:val="0055372C"/>
    <w:rsid w:val="00553B1E"/>
    <w:rsid w:val="005541CD"/>
    <w:rsid w:val="0055464C"/>
    <w:rsid w:val="00565990"/>
    <w:rsid w:val="005672FF"/>
    <w:rsid w:val="00571FF4"/>
    <w:rsid w:val="00573E0D"/>
    <w:rsid w:val="0057629E"/>
    <w:rsid w:val="00581BEC"/>
    <w:rsid w:val="00583470"/>
    <w:rsid w:val="00583828"/>
    <w:rsid w:val="005839C5"/>
    <w:rsid w:val="00590CC1"/>
    <w:rsid w:val="005920A1"/>
    <w:rsid w:val="005944AF"/>
    <w:rsid w:val="00596CDF"/>
    <w:rsid w:val="005A07ED"/>
    <w:rsid w:val="005A5273"/>
    <w:rsid w:val="005C2EE5"/>
    <w:rsid w:val="005C4A3E"/>
    <w:rsid w:val="005C6B93"/>
    <w:rsid w:val="005C7B52"/>
    <w:rsid w:val="005D066A"/>
    <w:rsid w:val="005D43DC"/>
    <w:rsid w:val="005D4979"/>
    <w:rsid w:val="005D605C"/>
    <w:rsid w:val="005E1928"/>
    <w:rsid w:val="005E26AE"/>
    <w:rsid w:val="005E2D43"/>
    <w:rsid w:val="005E4D27"/>
    <w:rsid w:val="005E6D22"/>
    <w:rsid w:val="005E7469"/>
    <w:rsid w:val="005F38A6"/>
    <w:rsid w:val="005F670D"/>
    <w:rsid w:val="00605E24"/>
    <w:rsid w:val="006068B9"/>
    <w:rsid w:val="006078EC"/>
    <w:rsid w:val="00620024"/>
    <w:rsid w:val="00620858"/>
    <w:rsid w:val="006226BB"/>
    <w:rsid w:val="00624E10"/>
    <w:rsid w:val="00634D73"/>
    <w:rsid w:val="00637201"/>
    <w:rsid w:val="00644BD6"/>
    <w:rsid w:val="00651E3F"/>
    <w:rsid w:val="006546C3"/>
    <w:rsid w:val="00657E64"/>
    <w:rsid w:val="00661D7C"/>
    <w:rsid w:val="00663048"/>
    <w:rsid w:val="00666D35"/>
    <w:rsid w:val="00671DFE"/>
    <w:rsid w:val="0067220E"/>
    <w:rsid w:val="006725D1"/>
    <w:rsid w:val="00675EC6"/>
    <w:rsid w:val="00676354"/>
    <w:rsid w:val="0067719D"/>
    <w:rsid w:val="00680928"/>
    <w:rsid w:val="0068268D"/>
    <w:rsid w:val="00682CAE"/>
    <w:rsid w:val="00683BF5"/>
    <w:rsid w:val="00684879"/>
    <w:rsid w:val="00685F25"/>
    <w:rsid w:val="00690BF7"/>
    <w:rsid w:val="006927E4"/>
    <w:rsid w:val="00693027"/>
    <w:rsid w:val="00694DFD"/>
    <w:rsid w:val="006A5258"/>
    <w:rsid w:val="006A6CF3"/>
    <w:rsid w:val="006B1D12"/>
    <w:rsid w:val="006B275F"/>
    <w:rsid w:val="006B64D9"/>
    <w:rsid w:val="006B72B6"/>
    <w:rsid w:val="006D109D"/>
    <w:rsid w:val="006D1689"/>
    <w:rsid w:val="006D477E"/>
    <w:rsid w:val="006D6F7F"/>
    <w:rsid w:val="006E141C"/>
    <w:rsid w:val="006E3CA8"/>
    <w:rsid w:val="006E458D"/>
    <w:rsid w:val="006F4053"/>
    <w:rsid w:val="00701E00"/>
    <w:rsid w:val="00703274"/>
    <w:rsid w:val="00705357"/>
    <w:rsid w:val="00705D8C"/>
    <w:rsid w:val="00706C53"/>
    <w:rsid w:val="0070737B"/>
    <w:rsid w:val="00707AD3"/>
    <w:rsid w:val="00713F6A"/>
    <w:rsid w:val="007142F8"/>
    <w:rsid w:val="00714AFA"/>
    <w:rsid w:val="00714E7A"/>
    <w:rsid w:val="00714F12"/>
    <w:rsid w:val="00716B13"/>
    <w:rsid w:val="00726515"/>
    <w:rsid w:val="00726817"/>
    <w:rsid w:val="00732027"/>
    <w:rsid w:val="00733302"/>
    <w:rsid w:val="00734F27"/>
    <w:rsid w:val="0074159D"/>
    <w:rsid w:val="00743A27"/>
    <w:rsid w:val="00744FCC"/>
    <w:rsid w:val="007512EC"/>
    <w:rsid w:val="00753003"/>
    <w:rsid w:val="00754FB1"/>
    <w:rsid w:val="00755431"/>
    <w:rsid w:val="007732BC"/>
    <w:rsid w:val="00776FF2"/>
    <w:rsid w:val="00777841"/>
    <w:rsid w:val="00777E29"/>
    <w:rsid w:val="007850D8"/>
    <w:rsid w:val="0078711F"/>
    <w:rsid w:val="007A1261"/>
    <w:rsid w:val="007A32A4"/>
    <w:rsid w:val="007A7A83"/>
    <w:rsid w:val="007B46BE"/>
    <w:rsid w:val="007D2A68"/>
    <w:rsid w:val="007E17B9"/>
    <w:rsid w:val="007E3DAF"/>
    <w:rsid w:val="007E49F4"/>
    <w:rsid w:val="007E5B0B"/>
    <w:rsid w:val="007F114F"/>
    <w:rsid w:val="007F2664"/>
    <w:rsid w:val="00805D00"/>
    <w:rsid w:val="008066F2"/>
    <w:rsid w:val="008079B1"/>
    <w:rsid w:val="00810561"/>
    <w:rsid w:val="008125BC"/>
    <w:rsid w:val="008137D8"/>
    <w:rsid w:val="00813CC4"/>
    <w:rsid w:val="00814CA8"/>
    <w:rsid w:val="00815E31"/>
    <w:rsid w:val="00816335"/>
    <w:rsid w:val="00817C86"/>
    <w:rsid w:val="00820950"/>
    <w:rsid w:val="00820CF0"/>
    <w:rsid w:val="00823B62"/>
    <w:rsid w:val="00825848"/>
    <w:rsid w:val="008300FC"/>
    <w:rsid w:val="008347B8"/>
    <w:rsid w:val="00837056"/>
    <w:rsid w:val="00845342"/>
    <w:rsid w:val="008460C1"/>
    <w:rsid w:val="00857728"/>
    <w:rsid w:val="0086066E"/>
    <w:rsid w:val="00866F7C"/>
    <w:rsid w:val="00870407"/>
    <w:rsid w:val="00870CD0"/>
    <w:rsid w:val="0087619A"/>
    <w:rsid w:val="008818E1"/>
    <w:rsid w:val="00882677"/>
    <w:rsid w:val="00890484"/>
    <w:rsid w:val="00890A14"/>
    <w:rsid w:val="00893529"/>
    <w:rsid w:val="008A16C6"/>
    <w:rsid w:val="008A628C"/>
    <w:rsid w:val="008B1005"/>
    <w:rsid w:val="008B21AA"/>
    <w:rsid w:val="008C7A70"/>
    <w:rsid w:val="008D0346"/>
    <w:rsid w:val="008D59B8"/>
    <w:rsid w:val="008F3E0E"/>
    <w:rsid w:val="008F499B"/>
    <w:rsid w:val="008F5C6E"/>
    <w:rsid w:val="008F76AB"/>
    <w:rsid w:val="009003A9"/>
    <w:rsid w:val="00902FA1"/>
    <w:rsid w:val="00911931"/>
    <w:rsid w:val="00912181"/>
    <w:rsid w:val="00916E34"/>
    <w:rsid w:val="009211BE"/>
    <w:rsid w:val="00923C84"/>
    <w:rsid w:val="00927751"/>
    <w:rsid w:val="00930E93"/>
    <w:rsid w:val="00932201"/>
    <w:rsid w:val="009405ED"/>
    <w:rsid w:val="00941ABF"/>
    <w:rsid w:val="00950A2D"/>
    <w:rsid w:val="0095231E"/>
    <w:rsid w:val="009556D9"/>
    <w:rsid w:val="00960959"/>
    <w:rsid w:val="0096314D"/>
    <w:rsid w:val="00970623"/>
    <w:rsid w:val="009921A1"/>
    <w:rsid w:val="00993E4A"/>
    <w:rsid w:val="009A00EB"/>
    <w:rsid w:val="009A1DD2"/>
    <w:rsid w:val="009A2BAA"/>
    <w:rsid w:val="009A2D15"/>
    <w:rsid w:val="009A364B"/>
    <w:rsid w:val="009A5A9C"/>
    <w:rsid w:val="009A7A73"/>
    <w:rsid w:val="009A7AA7"/>
    <w:rsid w:val="009B30AD"/>
    <w:rsid w:val="009B4ACD"/>
    <w:rsid w:val="009B604D"/>
    <w:rsid w:val="009C15C6"/>
    <w:rsid w:val="009C5E5A"/>
    <w:rsid w:val="009E0E4A"/>
    <w:rsid w:val="009F0DA8"/>
    <w:rsid w:val="009F2CDF"/>
    <w:rsid w:val="009F411B"/>
    <w:rsid w:val="009F52E2"/>
    <w:rsid w:val="009F5419"/>
    <w:rsid w:val="009F751C"/>
    <w:rsid w:val="009F7A09"/>
    <w:rsid w:val="00A04604"/>
    <w:rsid w:val="00A0784E"/>
    <w:rsid w:val="00A14A8F"/>
    <w:rsid w:val="00A171AD"/>
    <w:rsid w:val="00A31E73"/>
    <w:rsid w:val="00A327AA"/>
    <w:rsid w:val="00A40528"/>
    <w:rsid w:val="00A47175"/>
    <w:rsid w:val="00A50BB3"/>
    <w:rsid w:val="00A54828"/>
    <w:rsid w:val="00A54B8E"/>
    <w:rsid w:val="00A55302"/>
    <w:rsid w:val="00A55857"/>
    <w:rsid w:val="00A70D99"/>
    <w:rsid w:val="00A71B2B"/>
    <w:rsid w:val="00A961DD"/>
    <w:rsid w:val="00A961F0"/>
    <w:rsid w:val="00AA22F6"/>
    <w:rsid w:val="00AA71A1"/>
    <w:rsid w:val="00AB5DC0"/>
    <w:rsid w:val="00AB7042"/>
    <w:rsid w:val="00AC5D59"/>
    <w:rsid w:val="00AD2085"/>
    <w:rsid w:val="00AD2B08"/>
    <w:rsid w:val="00AE209D"/>
    <w:rsid w:val="00AE34E0"/>
    <w:rsid w:val="00AE6D23"/>
    <w:rsid w:val="00B01EED"/>
    <w:rsid w:val="00B11610"/>
    <w:rsid w:val="00B13D20"/>
    <w:rsid w:val="00B14FBD"/>
    <w:rsid w:val="00B16C6C"/>
    <w:rsid w:val="00B232BD"/>
    <w:rsid w:val="00B24F70"/>
    <w:rsid w:val="00B25D68"/>
    <w:rsid w:val="00B33113"/>
    <w:rsid w:val="00B4611F"/>
    <w:rsid w:val="00B46947"/>
    <w:rsid w:val="00B46C53"/>
    <w:rsid w:val="00B50DDF"/>
    <w:rsid w:val="00B521AD"/>
    <w:rsid w:val="00B545A2"/>
    <w:rsid w:val="00B54C12"/>
    <w:rsid w:val="00B55EFE"/>
    <w:rsid w:val="00B60E25"/>
    <w:rsid w:val="00B63351"/>
    <w:rsid w:val="00B66F25"/>
    <w:rsid w:val="00B76D8E"/>
    <w:rsid w:val="00B81B74"/>
    <w:rsid w:val="00B87423"/>
    <w:rsid w:val="00BA182F"/>
    <w:rsid w:val="00BB646F"/>
    <w:rsid w:val="00BC07AE"/>
    <w:rsid w:val="00BC0C9D"/>
    <w:rsid w:val="00BC2ECC"/>
    <w:rsid w:val="00BC5C3B"/>
    <w:rsid w:val="00BD2B8A"/>
    <w:rsid w:val="00BD79D8"/>
    <w:rsid w:val="00BF0134"/>
    <w:rsid w:val="00BF3681"/>
    <w:rsid w:val="00BF48A8"/>
    <w:rsid w:val="00C10A8F"/>
    <w:rsid w:val="00C20AC4"/>
    <w:rsid w:val="00C21402"/>
    <w:rsid w:val="00C21C96"/>
    <w:rsid w:val="00C307A5"/>
    <w:rsid w:val="00C30A09"/>
    <w:rsid w:val="00C30A9F"/>
    <w:rsid w:val="00C31FFF"/>
    <w:rsid w:val="00C35CC8"/>
    <w:rsid w:val="00C4022B"/>
    <w:rsid w:val="00C55F72"/>
    <w:rsid w:val="00C57B5D"/>
    <w:rsid w:val="00C6167C"/>
    <w:rsid w:val="00C6558C"/>
    <w:rsid w:val="00C65EB0"/>
    <w:rsid w:val="00C67B4E"/>
    <w:rsid w:val="00C71187"/>
    <w:rsid w:val="00C71EE9"/>
    <w:rsid w:val="00C7370A"/>
    <w:rsid w:val="00C805B0"/>
    <w:rsid w:val="00C814F1"/>
    <w:rsid w:val="00C95E3B"/>
    <w:rsid w:val="00C963CB"/>
    <w:rsid w:val="00CA2D38"/>
    <w:rsid w:val="00CA2F26"/>
    <w:rsid w:val="00CB396E"/>
    <w:rsid w:val="00CB5A29"/>
    <w:rsid w:val="00CB5C9A"/>
    <w:rsid w:val="00CB78B2"/>
    <w:rsid w:val="00CC5B2D"/>
    <w:rsid w:val="00CE3B2E"/>
    <w:rsid w:val="00CE7CE4"/>
    <w:rsid w:val="00CF73C0"/>
    <w:rsid w:val="00D05F58"/>
    <w:rsid w:val="00D119E8"/>
    <w:rsid w:val="00D12FB5"/>
    <w:rsid w:val="00D31330"/>
    <w:rsid w:val="00D3276A"/>
    <w:rsid w:val="00D36F75"/>
    <w:rsid w:val="00D405FE"/>
    <w:rsid w:val="00D46BC6"/>
    <w:rsid w:val="00D50CB1"/>
    <w:rsid w:val="00D62E00"/>
    <w:rsid w:val="00D67187"/>
    <w:rsid w:val="00D70C27"/>
    <w:rsid w:val="00D72715"/>
    <w:rsid w:val="00D80F34"/>
    <w:rsid w:val="00D846EE"/>
    <w:rsid w:val="00D91F23"/>
    <w:rsid w:val="00DA36CD"/>
    <w:rsid w:val="00DA726E"/>
    <w:rsid w:val="00DB217D"/>
    <w:rsid w:val="00DB3317"/>
    <w:rsid w:val="00DB71C6"/>
    <w:rsid w:val="00DB7660"/>
    <w:rsid w:val="00DC04BB"/>
    <w:rsid w:val="00DC16D0"/>
    <w:rsid w:val="00DC2D95"/>
    <w:rsid w:val="00DC59A8"/>
    <w:rsid w:val="00DC7C47"/>
    <w:rsid w:val="00DD0E66"/>
    <w:rsid w:val="00DD31F1"/>
    <w:rsid w:val="00DD55CA"/>
    <w:rsid w:val="00DD6146"/>
    <w:rsid w:val="00DD62C6"/>
    <w:rsid w:val="00DD74D6"/>
    <w:rsid w:val="00DE18F2"/>
    <w:rsid w:val="00DE7B10"/>
    <w:rsid w:val="00DF5CAD"/>
    <w:rsid w:val="00DF72FD"/>
    <w:rsid w:val="00E071A2"/>
    <w:rsid w:val="00E077B7"/>
    <w:rsid w:val="00E15863"/>
    <w:rsid w:val="00E1665A"/>
    <w:rsid w:val="00E2285F"/>
    <w:rsid w:val="00E23188"/>
    <w:rsid w:val="00E26DA0"/>
    <w:rsid w:val="00E31A89"/>
    <w:rsid w:val="00E33A88"/>
    <w:rsid w:val="00E36082"/>
    <w:rsid w:val="00E363ED"/>
    <w:rsid w:val="00E44536"/>
    <w:rsid w:val="00E51800"/>
    <w:rsid w:val="00E5246F"/>
    <w:rsid w:val="00E531C1"/>
    <w:rsid w:val="00E53FC6"/>
    <w:rsid w:val="00E548A8"/>
    <w:rsid w:val="00E54C46"/>
    <w:rsid w:val="00E576A5"/>
    <w:rsid w:val="00E62820"/>
    <w:rsid w:val="00E63450"/>
    <w:rsid w:val="00E649E1"/>
    <w:rsid w:val="00E72083"/>
    <w:rsid w:val="00E85E9F"/>
    <w:rsid w:val="00E865C1"/>
    <w:rsid w:val="00E86FFA"/>
    <w:rsid w:val="00E8728E"/>
    <w:rsid w:val="00E903DE"/>
    <w:rsid w:val="00EA07B2"/>
    <w:rsid w:val="00EB13F4"/>
    <w:rsid w:val="00EC0B56"/>
    <w:rsid w:val="00EC360D"/>
    <w:rsid w:val="00EC3CCF"/>
    <w:rsid w:val="00EC4C63"/>
    <w:rsid w:val="00EC674E"/>
    <w:rsid w:val="00EC69B8"/>
    <w:rsid w:val="00EC6ADD"/>
    <w:rsid w:val="00ED7DD3"/>
    <w:rsid w:val="00ED7E5A"/>
    <w:rsid w:val="00EE532F"/>
    <w:rsid w:val="00EE6BBA"/>
    <w:rsid w:val="00EE7952"/>
    <w:rsid w:val="00EF0E05"/>
    <w:rsid w:val="00EF39AE"/>
    <w:rsid w:val="00EF5CA4"/>
    <w:rsid w:val="00F03623"/>
    <w:rsid w:val="00F042BA"/>
    <w:rsid w:val="00F04E6D"/>
    <w:rsid w:val="00F07096"/>
    <w:rsid w:val="00F1112D"/>
    <w:rsid w:val="00F12C74"/>
    <w:rsid w:val="00F169CF"/>
    <w:rsid w:val="00F177B6"/>
    <w:rsid w:val="00F2506E"/>
    <w:rsid w:val="00F30695"/>
    <w:rsid w:val="00F4499E"/>
    <w:rsid w:val="00F450D5"/>
    <w:rsid w:val="00F45D3F"/>
    <w:rsid w:val="00F47614"/>
    <w:rsid w:val="00F53792"/>
    <w:rsid w:val="00F571C9"/>
    <w:rsid w:val="00F667C1"/>
    <w:rsid w:val="00F74272"/>
    <w:rsid w:val="00F80394"/>
    <w:rsid w:val="00F937A9"/>
    <w:rsid w:val="00F9442C"/>
    <w:rsid w:val="00F94732"/>
    <w:rsid w:val="00FA1B8A"/>
    <w:rsid w:val="00FA7E93"/>
    <w:rsid w:val="00FB0062"/>
    <w:rsid w:val="00FB69A6"/>
    <w:rsid w:val="00FD3191"/>
    <w:rsid w:val="00FD5490"/>
    <w:rsid w:val="00FE4C9A"/>
    <w:rsid w:val="00FE583F"/>
    <w:rsid w:val="00FF589D"/>
    <w:rsid w:val="00FF6A7F"/>
    <w:rsid w:val="00FF7128"/>
    <w:rsid w:val="01B3242B"/>
    <w:rsid w:val="02243F22"/>
    <w:rsid w:val="0300104E"/>
    <w:rsid w:val="03059EB0"/>
    <w:rsid w:val="031E054D"/>
    <w:rsid w:val="03B9EBE5"/>
    <w:rsid w:val="03FCAEC9"/>
    <w:rsid w:val="0409906A"/>
    <w:rsid w:val="041F1A17"/>
    <w:rsid w:val="04483163"/>
    <w:rsid w:val="046B709B"/>
    <w:rsid w:val="049DD48B"/>
    <w:rsid w:val="04A591C3"/>
    <w:rsid w:val="04ECF6AA"/>
    <w:rsid w:val="04F06448"/>
    <w:rsid w:val="05415617"/>
    <w:rsid w:val="05C9C69F"/>
    <w:rsid w:val="0651404C"/>
    <w:rsid w:val="06A730C4"/>
    <w:rsid w:val="06F8D23C"/>
    <w:rsid w:val="0701AE54"/>
    <w:rsid w:val="070D6A59"/>
    <w:rsid w:val="072F9B59"/>
    <w:rsid w:val="07893433"/>
    <w:rsid w:val="08188530"/>
    <w:rsid w:val="08DA844C"/>
    <w:rsid w:val="09617BC6"/>
    <w:rsid w:val="0A0FC879"/>
    <w:rsid w:val="0A410FD5"/>
    <w:rsid w:val="0A6CFC0E"/>
    <w:rsid w:val="0A8DF9EF"/>
    <w:rsid w:val="0B58BCFE"/>
    <w:rsid w:val="0BF47C77"/>
    <w:rsid w:val="0C40AFB2"/>
    <w:rsid w:val="0C71E4F4"/>
    <w:rsid w:val="0CB2AD06"/>
    <w:rsid w:val="0CB62D78"/>
    <w:rsid w:val="0D474EE5"/>
    <w:rsid w:val="0E2053EE"/>
    <w:rsid w:val="0E308D91"/>
    <w:rsid w:val="0E7A8730"/>
    <w:rsid w:val="0E8030C7"/>
    <w:rsid w:val="0E846060"/>
    <w:rsid w:val="0EA7AC72"/>
    <w:rsid w:val="0EC61721"/>
    <w:rsid w:val="0F09D31E"/>
    <w:rsid w:val="0F37C022"/>
    <w:rsid w:val="0F520F00"/>
    <w:rsid w:val="0F6FAC38"/>
    <w:rsid w:val="107F02FF"/>
    <w:rsid w:val="10CABAFA"/>
    <w:rsid w:val="12285A7A"/>
    <w:rsid w:val="127288B4"/>
    <w:rsid w:val="128668BB"/>
    <w:rsid w:val="13182AF5"/>
    <w:rsid w:val="1378A14C"/>
    <w:rsid w:val="149C0D56"/>
    <w:rsid w:val="14E80227"/>
    <w:rsid w:val="14E990FD"/>
    <w:rsid w:val="15712BB3"/>
    <w:rsid w:val="158E5B3D"/>
    <w:rsid w:val="17383E70"/>
    <w:rsid w:val="178A46A8"/>
    <w:rsid w:val="17CAF826"/>
    <w:rsid w:val="1919BA52"/>
    <w:rsid w:val="191BEB2F"/>
    <w:rsid w:val="1931DC2E"/>
    <w:rsid w:val="1987D245"/>
    <w:rsid w:val="19A5AC9A"/>
    <w:rsid w:val="19F6AA7F"/>
    <w:rsid w:val="1AF9A665"/>
    <w:rsid w:val="1B3DE25E"/>
    <w:rsid w:val="1B55DFC5"/>
    <w:rsid w:val="1B5962DF"/>
    <w:rsid w:val="1CE0C07B"/>
    <w:rsid w:val="1D00F7D7"/>
    <w:rsid w:val="1E3DE193"/>
    <w:rsid w:val="1F346436"/>
    <w:rsid w:val="1F5DBF8C"/>
    <w:rsid w:val="1F5EBDD8"/>
    <w:rsid w:val="1F86C8F9"/>
    <w:rsid w:val="1FE34D41"/>
    <w:rsid w:val="1FEC648E"/>
    <w:rsid w:val="1FFC9BCE"/>
    <w:rsid w:val="205813B3"/>
    <w:rsid w:val="20844AF4"/>
    <w:rsid w:val="20BFCE06"/>
    <w:rsid w:val="20C8D194"/>
    <w:rsid w:val="20D8EFA2"/>
    <w:rsid w:val="20E73828"/>
    <w:rsid w:val="20EDA278"/>
    <w:rsid w:val="20F0E55A"/>
    <w:rsid w:val="220B5EFE"/>
    <w:rsid w:val="22507F34"/>
    <w:rsid w:val="2265B629"/>
    <w:rsid w:val="22A8DA82"/>
    <w:rsid w:val="22D39893"/>
    <w:rsid w:val="22D4156B"/>
    <w:rsid w:val="22F1A824"/>
    <w:rsid w:val="23CE5575"/>
    <w:rsid w:val="241F750C"/>
    <w:rsid w:val="247E970A"/>
    <w:rsid w:val="24979A29"/>
    <w:rsid w:val="25150C2A"/>
    <w:rsid w:val="25437709"/>
    <w:rsid w:val="258CAD49"/>
    <w:rsid w:val="25C336D8"/>
    <w:rsid w:val="25D93161"/>
    <w:rsid w:val="25FAEBD1"/>
    <w:rsid w:val="2618999A"/>
    <w:rsid w:val="26AC020D"/>
    <w:rsid w:val="273A39A7"/>
    <w:rsid w:val="2840D8D0"/>
    <w:rsid w:val="286D3F7D"/>
    <w:rsid w:val="28C836DC"/>
    <w:rsid w:val="291A6D72"/>
    <w:rsid w:val="295613AE"/>
    <w:rsid w:val="2958DEF3"/>
    <w:rsid w:val="29880947"/>
    <w:rsid w:val="29FF8224"/>
    <w:rsid w:val="2AF2F257"/>
    <w:rsid w:val="2B03FFEC"/>
    <w:rsid w:val="2B54E147"/>
    <w:rsid w:val="2BA8A1AB"/>
    <w:rsid w:val="2BF57FFC"/>
    <w:rsid w:val="2C1B8961"/>
    <w:rsid w:val="2C8FC6EF"/>
    <w:rsid w:val="2CE048DC"/>
    <w:rsid w:val="2CFF3413"/>
    <w:rsid w:val="2D604F26"/>
    <w:rsid w:val="2D769F92"/>
    <w:rsid w:val="2DE52DAC"/>
    <w:rsid w:val="2E18EAAB"/>
    <w:rsid w:val="2E40C022"/>
    <w:rsid w:val="2E57343C"/>
    <w:rsid w:val="2E743F4D"/>
    <w:rsid w:val="2E77C0C5"/>
    <w:rsid w:val="2E84227E"/>
    <w:rsid w:val="2EC0C8C5"/>
    <w:rsid w:val="2ED3BAFB"/>
    <w:rsid w:val="2F1E4233"/>
    <w:rsid w:val="2F568E8F"/>
    <w:rsid w:val="2F7A6F57"/>
    <w:rsid w:val="2FAAF3F0"/>
    <w:rsid w:val="2FB7F4F5"/>
    <w:rsid w:val="2FBA1BC3"/>
    <w:rsid w:val="2FE37AA2"/>
    <w:rsid w:val="2FF60503"/>
    <w:rsid w:val="3043A43B"/>
    <w:rsid w:val="30479AFF"/>
    <w:rsid w:val="30872746"/>
    <w:rsid w:val="30A9D318"/>
    <w:rsid w:val="310A65BF"/>
    <w:rsid w:val="318DA629"/>
    <w:rsid w:val="319E9334"/>
    <w:rsid w:val="31A3E23C"/>
    <w:rsid w:val="329DAC63"/>
    <w:rsid w:val="329E5FB9"/>
    <w:rsid w:val="33A8685C"/>
    <w:rsid w:val="343CEEB0"/>
    <w:rsid w:val="352A74AC"/>
    <w:rsid w:val="3567FF63"/>
    <w:rsid w:val="35687399"/>
    <w:rsid w:val="3569B73F"/>
    <w:rsid w:val="36285D1F"/>
    <w:rsid w:val="3732470C"/>
    <w:rsid w:val="3760E8FB"/>
    <w:rsid w:val="37C2F8C2"/>
    <w:rsid w:val="37D2D559"/>
    <w:rsid w:val="37FA4440"/>
    <w:rsid w:val="385B8410"/>
    <w:rsid w:val="3874F2A9"/>
    <w:rsid w:val="38A8C93B"/>
    <w:rsid w:val="38C6E6B1"/>
    <w:rsid w:val="390D198B"/>
    <w:rsid w:val="3970D638"/>
    <w:rsid w:val="39DC55C3"/>
    <w:rsid w:val="3A7D4016"/>
    <w:rsid w:val="3B3BAEA1"/>
    <w:rsid w:val="3BBE2590"/>
    <w:rsid w:val="3C1A71C3"/>
    <w:rsid w:val="3C5204FD"/>
    <w:rsid w:val="3D1E1F63"/>
    <w:rsid w:val="3D66B60B"/>
    <w:rsid w:val="3E2F5404"/>
    <w:rsid w:val="3EA7A23F"/>
    <w:rsid w:val="3EBF7E61"/>
    <w:rsid w:val="3F265D80"/>
    <w:rsid w:val="3F439FBE"/>
    <w:rsid w:val="3F4E2064"/>
    <w:rsid w:val="3F4F9471"/>
    <w:rsid w:val="3F6B9A57"/>
    <w:rsid w:val="4008BE60"/>
    <w:rsid w:val="42684A46"/>
    <w:rsid w:val="42B70CBD"/>
    <w:rsid w:val="43050EB2"/>
    <w:rsid w:val="4345E31C"/>
    <w:rsid w:val="43559B65"/>
    <w:rsid w:val="439F542C"/>
    <w:rsid w:val="43F4BC4A"/>
    <w:rsid w:val="44402FE8"/>
    <w:rsid w:val="450DE7CA"/>
    <w:rsid w:val="4523073E"/>
    <w:rsid w:val="45651E9D"/>
    <w:rsid w:val="4577A124"/>
    <w:rsid w:val="45C1FC7A"/>
    <w:rsid w:val="473055A2"/>
    <w:rsid w:val="47C4D859"/>
    <w:rsid w:val="47E36327"/>
    <w:rsid w:val="483BB0E9"/>
    <w:rsid w:val="48514DAE"/>
    <w:rsid w:val="48FA9BB1"/>
    <w:rsid w:val="493ADA77"/>
    <w:rsid w:val="493AE87B"/>
    <w:rsid w:val="4AA2DE5C"/>
    <w:rsid w:val="4AD10574"/>
    <w:rsid w:val="4AF4D755"/>
    <w:rsid w:val="4B65030A"/>
    <w:rsid w:val="4B70CA58"/>
    <w:rsid w:val="4BAD5174"/>
    <w:rsid w:val="4BAE744A"/>
    <w:rsid w:val="4CDDA19C"/>
    <w:rsid w:val="4D519A39"/>
    <w:rsid w:val="4D6AE9AB"/>
    <w:rsid w:val="4D93D88B"/>
    <w:rsid w:val="4E202C56"/>
    <w:rsid w:val="4E3FF82A"/>
    <w:rsid w:val="4E4155E4"/>
    <w:rsid w:val="4E5BE4EC"/>
    <w:rsid w:val="4ECEB56C"/>
    <w:rsid w:val="4F2FA30B"/>
    <w:rsid w:val="503ABBEF"/>
    <w:rsid w:val="50681909"/>
    <w:rsid w:val="512FE63A"/>
    <w:rsid w:val="5171E6C2"/>
    <w:rsid w:val="524E7923"/>
    <w:rsid w:val="52522906"/>
    <w:rsid w:val="52AD2A63"/>
    <w:rsid w:val="5323500B"/>
    <w:rsid w:val="537BB551"/>
    <w:rsid w:val="53BC1802"/>
    <w:rsid w:val="546025D9"/>
    <w:rsid w:val="5463A2E2"/>
    <w:rsid w:val="54A84703"/>
    <w:rsid w:val="5508CC1B"/>
    <w:rsid w:val="5587E66E"/>
    <w:rsid w:val="55E7F449"/>
    <w:rsid w:val="5633BF09"/>
    <w:rsid w:val="56E9B84E"/>
    <w:rsid w:val="571EA67D"/>
    <w:rsid w:val="5742D1CD"/>
    <w:rsid w:val="57A83959"/>
    <w:rsid w:val="5854ACE0"/>
    <w:rsid w:val="585AAFC8"/>
    <w:rsid w:val="5910A8F4"/>
    <w:rsid w:val="5A7BB13B"/>
    <w:rsid w:val="5B345794"/>
    <w:rsid w:val="5B5CB84F"/>
    <w:rsid w:val="5B5DC4B8"/>
    <w:rsid w:val="5CA19E5A"/>
    <w:rsid w:val="5D0F9B3C"/>
    <w:rsid w:val="5DBE255A"/>
    <w:rsid w:val="5E14C1FA"/>
    <w:rsid w:val="5EA582DA"/>
    <w:rsid w:val="5F2E1007"/>
    <w:rsid w:val="5FB15AD6"/>
    <w:rsid w:val="5FE27BFD"/>
    <w:rsid w:val="600336DC"/>
    <w:rsid w:val="60906EB9"/>
    <w:rsid w:val="60C9BBF8"/>
    <w:rsid w:val="6169A234"/>
    <w:rsid w:val="6193C8E5"/>
    <w:rsid w:val="61C22984"/>
    <w:rsid w:val="61DEAB3A"/>
    <w:rsid w:val="61FBE952"/>
    <w:rsid w:val="626DF372"/>
    <w:rsid w:val="628BD049"/>
    <w:rsid w:val="62C27FA9"/>
    <w:rsid w:val="62C6D9DA"/>
    <w:rsid w:val="6365064B"/>
    <w:rsid w:val="636B7877"/>
    <w:rsid w:val="63C0F1D0"/>
    <w:rsid w:val="64030589"/>
    <w:rsid w:val="64AEE7F5"/>
    <w:rsid w:val="654F3108"/>
    <w:rsid w:val="65E564A5"/>
    <w:rsid w:val="6682C849"/>
    <w:rsid w:val="669B9F95"/>
    <w:rsid w:val="6739FBF3"/>
    <w:rsid w:val="677BB25C"/>
    <w:rsid w:val="67AB430E"/>
    <w:rsid w:val="67D209BA"/>
    <w:rsid w:val="67DC42F8"/>
    <w:rsid w:val="68A6F137"/>
    <w:rsid w:val="69014908"/>
    <w:rsid w:val="690C2EC5"/>
    <w:rsid w:val="69895D7E"/>
    <w:rsid w:val="6A144131"/>
    <w:rsid w:val="6A235F03"/>
    <w:rsid w:val="6A3131AE"/>
    <w:rsid w:val="6A58448A"/>
    <w:rsid w:val="6A7713B3"/>
    <w:rsid w:val="6A989121"/>
    <w:rsid w:val="6AFD4635"/>
    <w:rsid w:val="6B61D4E1"/>
    <w:rsid w:val="6B7168FF"/>
    <w:rsid w:val="6C247F7B"/>
    <w:rsid w:val="6C618512"/>
    <w:rsid w:val="6C700AC7"/>
    <w:rsid w:val="6CEB9565"/>
    <w:rsid w:val="6CF825A5"/>
    <w:rsid w:val="6D0040D5"/>
    <w:rsid w:val="6DA5D387"/>
    <w:rsid w:val="6DDF44EB"/>
    <w:rsid w:val="6E295FD6"/>
    <w:rsid w:val="6E87F861"/>
    <w:rsid w:val="6EE66E4C"/>
    <w:rsid w:val="6EFF73C7"/>
    <w:rsid w:val="6F167B29"/>
    <w:rsid w:val="6F9FFDCA"/>
    <w:rsid w:val="6FA90BAC"/>
    <w:rsid w:val="6FC780C5"/>
    <w:rsid w:val="6FD07473"/>
    <w:rsid w:val="702151C3"/>
    <w:rsid w:val="702F11ED"/>
    <w:rsid w:val="705952BB"/>
    <w:rsid w:val="70AE42CC"/>
    <w:rsid w:val="70C15659"/>
    <w:rsid w:val="70E7DB43"/>
    <w:rsid w:val="711B7661"/>
    <w:rsid w:val="71532F54"/>
    <w:rsid w:val="7206B88D"/>
    <w:rsid w:val="72D35939"/>
    <w:rsid w:val="73416919"/>
    <w:rsid w:val="7354BD54"/>
    <w:rsid w:val="73A51D48"/>
    <w:rsid w:val="73A7490E"/>
    <w:rsid w:val="7416B7A2"/>
    <w:rsid w:val="751F18EB"/>
    <w:rsid w:val="75308385"/>
    <w:rsid w:val="75633FAF"/>
    <w:rsid w:val="7565DDCE"/>
    <w:rsid w:val="758F764F"/>
    <w:rsid w:val="75AED070"/>
    <w:rsid w:val="75C10FAD"/>
    <w:rsid w:val="75FA8B44"/>
    <w:rsid w:val="76DE08A7"/>
    <w:rsid w:val="77575D26"/>
    <w:rsid w:val="778F72B4"/>
    <w:rsid w:val="77E30AB9"/>
    <w:rsid w:val="77F023BE"/>
    <w:rsid w:val="78191395"/>
    <w:rsid w:val="782CA58B"/>
    <w:rsid w:val="7833A006"/>
    <w:rsid w:val="78395227"/>
    <w:rsid w:val="78E70CD4"/>
    <w:rsid w:val="79E9D748"/>
    <w:rsid w:val="79EE1816"/>
    <w:rsid w:val="7AACA351"/>
    <w:rsid w:val="7AE8C630"/>
    <w:rsid w:val="7B00E703"/>
    <w:rsid w:val="7B1D448D"/>
    <w:rsid w:val="7B39C50B"/>
    <w:rsid w:val="7C471BF2"/>
    <w:rsid w:val="7C4AAC42"/>
    <w:rsid w:val="7C9A1F8D"/>
    <w:rsid w:val="7CC37E6E"/>
    <w:rsid w:val="7CCC2D38"/>
    <w:rsid w:val="7DADFF60"/>
    <w:rsid w:val="7DD24E45"/>
    <w:rsid w:val="7DD28AEE"/>
    <w:rsid w:val="7E62A24C"/>
    <w:rsid w:val="7EF40A0C"/>
    <w:rsid w:val="7FF61B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F3D3D"/>
  <w15:chartTrackingRefBased/>
  <w15:docId w15:val="{43C653FB-A6B9-4407-8094-23811FA1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4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2F8"/>
    <w:rPr>
      <w:rFonts w:eastAsiaTheme="majorEastAsia" w:cstheme="majorBidi"/>
      <w:color w:val="272727" w:themeColor="text1" w:themeTint="D8"/>
    </w:rPr>
  </w:style>
  <w:style w:type="paragraph" w:styleId="Title">
    <w:name w:val="Title"/>
    <w:basedOn w:val="Normal"/>
    <w:next w:val="Normal"/>
    <w:link w:val="TitleChar"/>
    <w:uiPriority w:val="10"/>
    <w:qFormat/>
    <w:rsid w:val="00714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2F8"/>
    <w:pPr>
      <w:spacing w:before="160"/>
      <w:jc w:val="center"/>
    </w:pPr>
    <w:rPr>
      <w:i/>
      <w:iCs/>
      <w:color w:val="404040" w:themeColor="text1" w:themeTint="BF"/>
    </w:rPr>
  </w:style>
  <w:style w:type="character" w:customStyle="1" w:styleId="QuoteChar">
    <w:name w:val="Quote Char"/>
    <w:basedOn w:val="DefaultParagraphFont"/>
    <w:link w:val="Quote"/>
    <w:uiPriority w:val="29"/>
    <w:rsid w:val="007142F8"/>
    <w:rPr>
      <w:i/>
      <w:iCs/>
      <w:color w:val="404040" w:themeColor="text1" w:themeTint="BF"/>
    </w:rPr>
  </w:style>
  <w:style w:type="paragraph" w:styleId="ListParagraph">
    <w:name w:val="List Paragraph"/>
    <w:basedOn w:val="Normal"/>
    <w:link w:val="ListParagraphChar"/>
    <w:uiPriority w:val="34"/>
    <w:qFormat/>
    <w:rsid w:val="007142F8"/>
    <w:pPr>
      <w:ind w:left="720"/>
      <w:contextualSpacing/>
    </w:pPr>
  </w:style>
  <w:style w:type="character" w:styleId="IntenseEmphasis">
    <w:name w:val="Intense Emphasis"/>
    <w:basedOn w:val="DefaultParagraphFont"/>
    <w:uiPriority w:val="21"/>
    <w:qFormat/>
    <w:rsid w:val="007142F8"/>
    <w:rPr>
      <w:i/>
      <w:iCs/>
      <w:color w:val="0F4761" w:themeColor="accent1" w:themeShade="BF"/>
    </w:rPr>
  </w:style>
  <w:style w:type="paragraph" w:styleId="IntenseQuote">
    <w:name w:val="Intense Quote"/>
    <w:basedOn w:val="Normal"/>
    <w:next w:val="Normal"/>
    <w:link w:val="IntenseQuoteChar"/>
    <w:uiPriority w:val="30"/>
    <w:qFormat/>
    <w:rsid w:val="00714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2F8"/>
    <w:rPr>
      <w:i/>
      <w:iCs/>
      <w:color w:val="0F4761" w:themeColor="accent1" w:themeShade="BF"/>
    </w:rPr>
  </w:style>
  <w:style w:type="character" w:styleId="IntenseReference">
    <w:name w:val="Intense Reference"/>
    <w:basedOn w:val="DefaultParagraphFont"/>
    <w:uiPriority w:val="32"/>
    <w:qFormat/>
    <w:rsid w:val="007142F8"/>
    <w:rPr>
      <w:b/>
      <w:bCs/>
      <w:smallCaps/>
      <w:color w:val="0F4761" w:themeColor="accent1" w:themeShade="BF"/>
      <w:spacing w:val="5"/>
    </w:rPr>
  </w:style>
  <w:style w:type="character" w:styleId="Hyperlink">
    <w:name w:val="Hyperlink"/>
    <w:basedOn w:val="DefaultParagraphFont"/>
    <w:uiPriority w:val="99"/>
    <w:unhideWhenUsed/>
    <w:rsid w:val="0049301F"/>
    <w:rPr>
      <w:color w:val="467886" w:themeColor="hyperlink"/>
      <w:u w:val="single"/>
    </w:rPr>
  </w:style>
  <w:style w:type="character" w:styleId="UnresolvedMention">
    <w:name w:val="Unresolved Mention"/>
    <w:basedOn w:val="DefaultParagraphFont"/>
    <w:uiPriority w:val="99"/>
    <w:semiHidden/>
    <w:unhideWhenUsed/>
    <w:rsid w:val="0049301F"/>
    <w:rPr>
      <w:color w:val="605E5C"/>
      <w:shd w:val="clear" w:color="auto" w:fill="E1DFDD"/>
    </w:rPr>
  </w:style>
  <w:style w:type="paragraph" w:styleId="NormalWeb">
    <w:name w:val="Normal (Web)"/>
    <w:basedOn w:val="Normal"/>
    <w:uiPriority w:val="99"/>
    <w:semiHidden/>
    <w:unhideWhenUsed/>
    <w:rsid w:val="00B8742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uiPriority w:val="99"/>
    <w:semiHidden/>
    <w:unhideWhenUsed/>
    <w:rsid w:val="09617BC6"/>
    <w:pPr>
      <w:spacing w:after="0" w:line="240" w:lineRule="auto"/>
    </w:pPr>
    <w:rPr>
      <w:sz w:val="20"/>
      <w:szCs w:val="20"/>
    </w:rPr>
  </w:style>
  <w:style w:type="character" w:styleId="CommentReference">
    <w:name w:val="annotation reference"/>
    <w:basedOn w:val="DefaultParagraphFont"/>
    <w:uiPriority w:val="99"/>
    <w:semiHidden/>
    <w:unhideWhenUsed/>
    <w:rsid w:val="00041A0B"/>
    <w:rPr>
      <w:sz w:val="16"/>
      <w:szCs w:val="16"/>
    </w:rPr>
  </w:style>
  <w:style w:type="paragraph" w:styleId="CommentText">
    <w:name w:val="annotation text"/>
    <w:basedOn w:val="Normal"/>
    <w:link w:val="CommentTextChar"/>
    <w:uiPriority w:val="99"/>
    <w:unhideWhenUsed/>
    <w:rsid w:val="00041A0B"/>
    <w:pPr>
      <w:spacing w:line="240" w:lineRule="auto"/>
    </w:pPr>
    <w:rPr>
      <w:sz w:val="20"/>
      <w:szCs w:val="20"/>
    </w:rPr>
  </w:style>
  <w:style w:type="character" w:customStyle="1" w:styleId="CommentTextChar">
    <w:name w:val="Comment Text Char"/>
    <w:basedOn w:val="DefaultParagraphFont"/>
    <w:link w:val="CommentText"/>
    <w:uiPriority w:val="99"/>
    <w:rsid w:val="00041A0B"/>
    <w:rPr>
      <w:sz w:val="20"/>
      <w:szCs w:val="20"/>
    </w:rPr>
  </w:style>
  <w:style w:type="paragraph" w:styleId="CommentSubject">
    <w:name w:val="annotation subject"/>
    <w:basedOn w:val="CommentText"/>
    <w:next w:val="CommentText"/>
    <w:link w:val="CommentSubjectChar"/>
    <w:uiPriority w:val="99"/>
    <w:semiHidden/>
    <w:unhideWhenUsed/>
    <w:rsid w:val="00041A0B"/>
    <w:rPr>
      <w:b/>
      <w:bCs/>
    </w:rPr>
  </w:style>
  <w:style w:type="character" w:customStyle="1" w:styleId="CommentSubjectChar">
    <w:name w:val="Comment Subject Char"/>
    <w:basedOn w:val="CommentTextChar"/>
    <w:link w:val="CommentSubject"/>
    <w:uiPriority w:val="99"/>
    <w:semiHidden/>
    <w:rsid w:val="00041A0B"/>
    <w:rPr>
      <w:b/>
      <w:bCs/>
      <w:sz w:val="20"/>
      <w:szCs w:val="20"/>
    </w:rPr>
  </w:style>
  <w:style w:type="paragraph" w:customStyle="1" w:styleId="Heading10">
    <w:name w:val="Heading1"/>
    <w:basedOn w:val="ListParagraph"/>
    <w:link w:val="Heading1Char0"/>
    <w:qFormat/>
    <w:rsid w:val="00BF48A8"/>
    <w:pPr>
      <w:spacing w:line="240" w:lineRule="auto"/>
    </w:pPr>
    <w:rPr>
      <w:rFonts w:ascii="Times New Roman" w:eastAsia="Times New Roman" w:hAnsi="Times New Roman" w:cs="Times New Roman"/>
      <w:b/>
      <w:bCs/>
      <w:sz w:val="20"/>
      <w:szCs w:val="20"/>
    </w:rPr>
  </w:style>
  <w:style w:type="character" w:customStyle="1" w:styleId="ListParagraphChar">
    <w:name w:val="List Paragraph Char"/>
    <w:basedOn w:val="DefaultParagraphFont"/>
    <w:link w:val="ListParagraph"/>
    <w:uiPriority w:val="34"/>
    <w:rsid w:val="00BF48A8"/>
  </w:style>
  <w:style w:type="character" w:customStyle="1" w:styleId="Heading1Char0">
    <w:name w:val="Heading1 Char"/>
    <w:basedOn w:val="ListParagraphChar"/>
    <w:link w:val="Heading10"/>
    <w:rsid w:val="00BF48A8"/>
    <w:rPr>
      <w:rFonts w:ascii="Times New Roman" w:eastAsia="Times New Roman" w:hAnsi="Times New Roman" w:cs="Times New Roman"/>
      <w:b/>
      <w:bCs/>
      <w:sz w:val="20"/>
      <w:szCs w:val="20"/>
    </w:rPr>
  </w:style>
  <w:style w:type="paragraph" w:styleId="ListBullet">
    <w:name w:val="List Bullet"/>
    <w:basedOn w:val="Normal"/>
    <w:uiPriority w:val="99"/>
    <w:unhideWhenUsed/>
    <w:rsid w:val="009F411B"/>
    <w:pPr>
      <w:numPr>
        <w:numId w:val="29"/>
      </w:numPr>
      <w:tabs>
        <w:tab w:val="clear" w:pos="360"/>
      </w:tabs>
      <w:spacing w:after="200" w:line="276" w:lineRule="auto"/>
      <w:ind w:left="0" w:firstLine="0"/>
      <w:contextualSpacing/>
    </w:pPr>
    <w:rPr>
      <w:kern w:val="0"/>
      <w:sz w:val="22"/>
      <w:szCs w:val="22"/>
      <w:lang w:eastAsia="en-US"/>
      <w14:ligatures w14:val="none"/>
    </w:rPr>
  </w:style>
  <w:style w:type="character" w:styleId="FollowedHyperlink">
    <w:name w:val="FollowedHyperlink"/>
    <w:basedOn w:val="DefaultParagraphFont"/>
    <w:uiPriority w:val="99"/>
    <w:semiHidden/>
    <w:unhideWhenUsed/>
    <w:rsid w:val="002A6530"/>
    <w:rPr>
      <w:color w:val="96607D" w:themeColor="followedHyperlink"/>
      <w:u w:val="single"/>
    </w:rPr>
  </w:style>
  <w:style w:type="character" w:styleId="FootnoteReference">
    <w:name w:val="footnote reference"/>
    <w:basedOn w:val="DefaultParagraphFont"/>
    <w:uiPriority w:val="99"/>
    <w:semiHidden/>
    <w:unhideWhenUsed/>
    <w:rsid w:val="000D7F68"/>
    <w:rPr>
      <w:vertAlign w:val="superscript"/>
    </w:rPr>
  </w:style>
  <w:style w:type="paragraph" w:styleId="Header">
    <w:name w:val="header"/>
    <w:basedOn w:val="Normal"/>
    <w:link w:val="HeaderChar"/>
    <w:uiPriority w:val="99"/>
    <w:unhideWhenUsed/>
    <w:rsid w:val="006D16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1689"/>
  </w:style>
  <w:style w:type="paragraph" w:styleId="Footer">
    <w:name w:val="footer"/>
    <w:basedOn w:val="Normal"/>
    <w:link w:val="FooterChar"/>
    <w:uiPriority w:val="99"/>
    <w:unhideWhenUsed/>
    <w:rsid w:val="006D16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1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rser.2014.03.039" TargetMode="External"/><Relationship Id="rId21" Type="http://schemas.openxmlformats.org/officeDocument/2006/relationships/hyperlink" Target="https://doi.org/10.1109/TMTT.1984.1132833" TargetMode="External"/><Relationship Id="rId42" Type="http://schemas.openxmlformats.org/officeDocument/2006/relationships/hyperlink" Target="https://www.ispionline.it/en/publication/the-space-based-solar-power-systems-state-of-the-art-and-implications-183944" TargetMode="External"/><Relationship Id="rId47" Type="http://schemas.openxmlformats.org/officeDocument/2006/relationships/hyperlink" Target="https://doi.org/10.29202/asl/14/5" TargetMode="External"/><Relationship Id="rId63" Type="http://schemas.openxmlformats.org/officeDocument/2006/relationships/hyperlink" Target="https://doi.org/10.1016/j.spacepol.2012.06.004"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9" Type="http://schemas.openxmlformats.org/officeDocument/2006/relationships/hyperlink" Target="https://doi.org/10.1016/j.actaastro.2023.06.009" TargetMode="External"/><Relationship Id="rId11" Type="http://schemas.openxmlformats.org/officeDocument/2006/relationships/hyperlink" Target="mailto:yni@csusb.edu" TargetMode="External"/><Relationship Id="rId24" Type="http://schemas.openxmlformats.org/officeDocument/2006/relationships/hyperlink" Target="https://doi.org/10.1016/j.spacepol.2020.101375" TargetMode="External"/><Relationship Id="rId32" Type="http://schemas.openxmlformats.org/officeDocument/2006/relationships/hyperlink" Target="https://doi.org/10.1126/science.162.3856.857" TargetMode="External"/><Relationship Id="rId37" Type="http://schemas.openxmlformats.org/officeDocument/2006/relationships/hyperlink" Target="https://www.satellitetoday.com/space-economy/2025/04/28/space-solar-completes-design-study-for-cassiopeia-satellite/" TargetMode="External"/><Relationship Id="rId40" Type="http://schemas.openxmlformats.org/officeDocument/2006/relationships/hyperlink" Target="https://www.irena.org/Publications/2023/Aug/Renewable-Power-Generation-Costs-in-2022" TargetMode="External"/><Relationship Id="rId45" Type="http://schemas.openxmlformats.org/officeDocument/2006/relationships/hyperlink" Target="https://doi.org/10.1029/JA083iA06p02637" TargetMode="External"/><Relationship Id="rId53" Type="http://schemas.openxmlformats.org/officeDocument/2006/relationships/hyperlink" Target="https://doi.org/10.1002/wcc.52" TargetMode="External"/><Relationship Id="rId58" Type="http://schemas.openxmlformats.org/officeDocument/2006/relationships/hyperlink" Target="https://doi.org/10.1080/14693062.2018.1521332" TargetMode="External"/><Relationship Id="rId66" Type="http://schemas.openxmlformats.org/officeDocument/2006/relationships/hyperlink" Target="https://doi.org/10.1016/j.gloenvcha.2009.10.001" TargetMode="External"/><Relationship Id="rId5" Type="http://schemas.openxmlformats.org/officeDocument/2006/relationships/webSettings" Target="webSettings.xml"/><Relationship Id="rId61" Type="http://schemas.openxmlformats.org/officeDocument/2006/relationships/hyperlink" Target="https://www.unep.org/resources/emissions-gap-report-2023" TargetMode="External"/><Relationship Id="rId19" Type="http://schemas.openxmlformats.org/officeDocument/2006/relationships/hyperlink" Target="https://doi.org/10.2307/2234208" TargetMode="External"/><Relationship Id="rId14" Type="http://schemas.openxmlformats.org/officeDocument/2006/relationships/diagramQuickStyle" Target="diagrams/quickStyle1.xml"/><Relationship Id="rId22" Type="http://schemas.openxmlformats.org/officeDocument/2006/relationships/hyperlink" Target="https://doi.org/10.1017/9781108597135" TargetMode="External"/><Relationship Id="rId27" Type="http://schemas.openxmlformats.org/officeDocument/2006/relationships/hyperlink" Target="https://docs.nrel.gov/docs/fy09osti/45834.pdf" TargetMode="External"/><Relationship Id="rId30" Type="http://schemas.openxmlformats.org/officeDocument/2006/relationships/hyperlink" Target="https://www.esa.int/Space_in_Member_States/United_Kingdom/ESA_accelerates_the_race_towards_clean_energy_from_space" TargetMode="External"/><Relationship Id="rId35" Type="http://schemas.openxmlformats.org/officeDocument/2006/relationships/hyperlink" Target="https://doi.org/10.1016/S0921-8009(97)00147-X" TargetMode="External"/><Relationship Id="rId43" Type="http://schemas.openxmlformats.org/officeDocument/2006/relationships/hyperlink" Target="https://doi.org/10.1007/978-3-319-54364-2" TargetMode="External"/><Relationship Id="rId48" Type="http://schemas.openxmlformats.org/officeDocument/2006/relationships/hyperlink" Target="https://www.nasa.gov/wp-content/uploads/2024/01/otps-sbsp-report-final-tagged-approved-1-8-24-tagged-v2.pdf" TargetMode="External"/><Relationship Id="rId56" Type="http://schemas.openxmlformats.org/officeDocument/2006/relationships/hyperlink" Target="https://www.hks.harvard.edu/publications/industrial-policy-twenty-first-century" TargetMode="External"/><Relationship Id="rId64" Type="http://schemas.openxmlformats.org/officeDocument/2006/relationships/hyperlink" Target="https://www.whitehouse.gov/presidential-actions/2025/12/ensuring-american-space-superiority/?utm_source=chatgpt.com" TargetMode="External"/><Relationship Id="rId69" Type="http://schemas.openxmlformats.org/officeDocument/2006/relationships/fontTable" Target="fontTable.xml"/><Relationship Id="rId8" Type="http://schemas.openxmlformats.org/officeDocument/2006/relationships/hyperlink" Target="mailto:yni@csusb.edu" TargetMode="External"/><Relationship Id="rId51" Type="http://schemas.openxmlformats.org/officeDocument/2006/relationships/hyperlink" Target="https://orbitaltoday.com/2024/04/25/japan-is-to-launch-its-first-space-based-solar-power-plant-in-2025-but-is-it-effective/" TargetMode="Externa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hyperlink" Target="https://doi.org/10.1162/002081800551280" TargetMode="External"/><Relationship Id="rId25" Type="http://schemas.openxmlformats.org/officeDocument/2006/relationships/hyperlink" Target="https://docs.nrel.gov/docs/fy10osti/44849.pdf" TargetMode="External"/><Relationship Id="rId33" Type="http://schemas.openxmlformats.org/officeDocument/2006/relationships/hyperlink" Target="https://www.gminsights.com/industry-analysis/space-based-solar-power-market" TargetMode="External"/><Relationship Id="rId38" Type="http://schemas.openxmlformats.org/officeDocument/2006/relationships/hyperlink" Target="https://doi.org/10.1016/j.sspwt.2025.11.006" TargetMode="External"/><Relationship Id="rId46" Type="http://schemas.openxmlformats.org/officeDocument/2006/relationships/hyperlink" Target="https://www.livescience.com/space/space-exploration/china-plans-to-build-enormous-solar-array-in-space-and-it-could-collect-more-energy-in-a-year-than-all-the-oil-on-earth" TargetMode="External"/><Relationship Id="rId59" Type="http://schemas.openxmlformats.org/officeDocument/2006/relationships/hyperlink" Target="https://spaceenergyinitiative.org.uk/cassiopeia-beamed-power-through-the-long-lunar-night/" TargetMode="External"/><Relationship Id="rId67" Type="http://schemas.openxmlformats.org/officeDocument/2006/relationships/hyperlink" Target="https://doi.org/10.1016/j.actaastro.2021.01.012" TargetMode="External"/><Relationship Id="rId20" Type="http://schemas.openxmlformats.org/officeDocument/2006/relationships/hyperlink" Target="https://doi.org/10.2139/ssrn.5138442" TargetMode="External"/><Relationship Id="rId41" Type="http://schemas.openxmlformats.org/officeDocument/2006/relationships/hyperlink" Target="https://doi.org/10.1109/IEEESTD.2018.8332112" TargetMode="External"/><Relationship Id="rId54" Type="http://schemas.openxmlformats.org/officeDocument/2006/relationships/hyperlink" Target="https://doi.org/10.1257/aer.100.3.641" TargetMode="External"/><Relationship Id="rId62" Type="http://schemas.openxmlformats.org/officeDocument/2006/relationships/hyperlink" Target="https://doi.org/10.1007/s10784-010-9130-x"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hyperlink" Target="https://doi.org/10.1016/j.joule.2025.102074" TargetMode="External"/><Relationship Id="rId28" Type="http://schemas.openxmlformats.org/officeDocument/2006/relationships/hyperlink" Target="https://www.gov.uk/government/news/uk-shoots-for-the-stars-as-space-based-solar-power-prepares-for-lift-off" TargetMode="External"/><Relationship Id="rId36" Type="http://schemas.openxmlformats.org/officeDocument/2006/relationships/hyperlink" Target="https://doi.org/10.1109/JPROC.2022.3203620" TargetMode="External"/><Relationship Id="rId49" Type="http://schemas.openxmlformats.org/officeDocument/2006/relationships/hyperlink" Target="https://doi.org/10.1146/annurev-resource-100913-012655" TargetMode="External"/><Relationship Id="rId57" Type="http://schemas.openxmlformats.org/officeDocument/2006/relationships/hyperlink" Target="https://spacedream.sakura.ne.jp/PDFSPSENG14.pdf" TargetMode="External"/><Relationship Id="rId10" Type="http://schemas.openxmlformats.org/officeDocument/2006/relationships/hyperlink" Target="mailto:calebni21@gmail.com" TargetMode="External"/><Relationship Id="rId31" Type="http://schemas.openxmlformats.org/officeDocument/2006/relationships/hyperlink" Target="https://doi.org/10.1093/oxrep/grp024" TargetMode="External"/><Relationship Id="rId44" Type="http://schemas.openxmlformats.org/officeDocument/2006/relationships/hyperlink" Target="https://doi.org/10.1007/s11077-014-9201-x" TargetMode="External"/><Relationship Id="rId52" Type="http://schemas.openxmlformats.org/officeDocument/2006/relationships/hyperlink" Target="https://www.oecd.org/content/dam/oecd/en/publications/reports/2019/01/the-costs-of-decarbonisation_g1g9f42f/9789264312180-en.pdf" TargetMode="External"/><Relationship Id="rId60" Type="http://schemas.openxmlformats.org/officeDocument/2006/relationships/hyperlink" Target="https://technrok.com/ohisama-by-jaxa-retrodirective-beam-control-for-space-based-solar-power-transmission/" TargetMode="External"/><Relationship Id="rId65" Type="http://schemas.openxmlformats.org/officeDocument/2006/relationships/hyperlink" Target="https://www.worldenergy.org/assets/images/imported/2013/09/2013-Energy-Sustainability-Index-VOL-2.pdf" TargetMode="External"/><Relationship Id="rId4" Type="http://schemas.openxmlformats.org/officeDocument/2006/relationships/settings" Target="settings.xml"/><Relationship Id="rId9" Type="http://schemas.openxmlformats.org/officeDocument/2006/relationships/hyperlink" Target="mailto:shrishti.sharma@csusb.edu" TargetMode="External"/><Relationship Id="rId13" Type="http://schemas.openxmlformats.org/officeDocument/2006/relationships/diagramLayout" Target="diagrams/layout1.xml"/><Relationship Id="rId18" Type="http://schemas.openxmlformats.org/officeDocument/2006/relationships/hyperlink" Target="https://doi.org/10.1016/j.heliyon.2024.e29996" TargetMode="External"/><Relationship Id="rId39" Type="http://schemas.openxmlformats.org/officeDocument/2006/relationships/hyperlink" Target="https://www.iea.org/reports/world-energy-outlook-2023" TargetMode="External"/><Relationship Id="rId34" Type="http://schemas.openxmlformats.org/officeDocument/2006/relationships/hyperlink" Target="https://doi.org/10.1016/j.enpol.2011.10.042" TargetMode="External"/><Relationship Id="rId50" Type="http://schemas.openxmlformats.org/officeDocument/2006/relationships/hyperlink" Target="https://doi.org/10.1016/j.jsse.2020.06.003" TargetMode="External"/><Relationship Id="rId55" Type="http://schemas.openxmlformats.org/officeDocument/2006/relationships/hyperlink" Target="https://maritimesafetyinnovationlab.org/wp-content/uploads/2021/04/Normal-Accidents-Living-With-High-Risk-Technologies-Perrow.pdf"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43A33B-2DDA-4626-8FD5-0FE49F70EB14}"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n-US"/>
        </a:p>
      </dgm:t>
    </dgm:pt>
    <dgm:pt modelId="{3DD7D010-5420-47F9-8F83-8148B963027F}">
      <dgm:prSet phldrT="[Text]"/>
      <dgm:spPr/>
      <dgm:t>
        <a:bodyPr/>
        <a:lstStyle/>
        <a:p>
          <a:r>
            <a:rPr lang="en-US" b="1" i="0" u="none" strike="noStrike" cap="none" dirty="0">
              <a:latin typeface="Arial"/>
              <a:ea typeface="Arial"/>
              <a:cs typeface="Arial"/>
              <a:sym typeface="Arial"/>
            </a:rPr>
            <a:t>SBSP Policy Mechanisms</a:t>
          </a:r>
          <a:endParaRPr lang="en-US"/>
        </a:p>
      </dgm:t>
    </dgm:pt>
    <dgm:pt modelId="{80DEC497-DAD6-40DF-9173-2F419BFC9E7D}" type="parTrans" cxnId="{3913DBB9-8E8F-4184-91C5-EDFFE2D3DCCA}">
      <dgm:prSet/>
      <dgm:spPr/>
      <dgm:t>
        <a:bodyPr/>
        <a:lstStyle/>
        <a:p>
          <a:endParaRPr lang="en-US"/>
        </a:p>
      </dgm:t>
    </dgm:pt>
    <dgm:pt modelId="{D1E5B915-673A-4C08-941F-3DFB85D89630}" type="sibTrans" cxnId="{3913DBB9-8E8F-4184-91C5-EDFFE2D3DCCA}">
      <dgm:prSet/>
      <dgm:spPr/>
      <dgm:t>
        <a:bodyPr/>
        <a:lstStyle/>
        <a:p>
          <a:endParaRPr lang="en-US"/>
        </a:p>
      </dgm:t>
    </dgm:pt>
    <dgm:pt modelId="{2FEE737C-165F-43CC-83BA-19F5F97CA638}">
      <dgm:prSet phldrT="[Text]"/>
      <dgm:spPr/>
      <dgm:t>
        <a:bodyPr/>
        <a:lstStyle/>
        <a:p>
          <a:pPr>
            <a:buClr>
              <a:schemeClr val="lt2"/>
            </a:buClr>
            <a:buSzPts val="1800"/>
            <a:buFont typeface="Arial"/>
            <a:buNone/>
          </a:pPr>
          <a:r>
            <a:rPr lang="en-US" b="1" dirty="0">
              <a:latin typeface="Arial"/>
              <a:ea typeface="Arial"/>
              <a:cs typeface="Arial"/>
              <a:sym typeface="Arial"/>
            </a:rPr>
            <a:t>International</a:t>
          </a:r>
          <a:endParaRPr lang="en-US"/>
        </a:p>
      </dgm:t>
    </dgm:pt>
    <dgm:pt modelId="{A1C217A4-D7A8-425B-8806-5FF241B7E945}" type="parTrans" cxnId="{45755902-FBB0-46A3-A451-BD216435D20E}">
      <dgm:prSet/>
      <dgm:spPr/>
      <dgm:t>
        <a:bodyPr/>
        <a:lstStyle/>
        <a:p>
          <a:endParaRPr lang="en-US"/>
        </a:p>
      </dgm:t>
    </dgm:pt>
    <dgm:pt modelId="{0322815F-696F-428F-B2F3-FCE253F1FC72}" type="sibTrans" cxnId="{45755902-FBB0-46A3-A451-BD216435D20E}">
      <dgm:prSet/>
      <dgm:spPr/>
      <dgm:t>
        <a:bodyPr/>
        <a:lstStyle/>
        <a:p>
          <a:endParaRPr lang="en-US"/>
        </a:p>
      </dgm:t>
    </dgm:pt>
    <dgm:pt modelId="{F53B62B4-4C67-4749-8FE9-EC1188D8F49C}">
      <dgm:prSet phldrT="[Text]"/>
      <dgm:spPr/>
      <dgm:t>
        <a:bodyPr/>
        <a:lstStyle/>
        <a:p>
          <a:pPr>
            <a:buClr>
              <a:schemeClr val="lt2"/>
            </a:buClr>
            <a:buSzPts val="1400"/>
            <a:buFont typeface="Arial"/>
            <a:buNone/>
          </a:pPr>
          <a:r>
            <a:rPr lang="en-US" b="1" dirty="0">
              <a:latin typeface="Arial"/>
              <a:ea typeface="Arial"/>
              <a:cs typeface="Arial"/>
              <a:sym typeface="Arial"/>
            </a:rPr>
            <a:t>Administrative Mechanisms</a:t>
          </a:r>
          <a:endParaRPr lang="en-US" dirty="0"/>
        </a:p>
        <a:p>
          <a:pPr>
            <a:buClr>
              <a:schemeClr val="lt2"/>
            </a:buClr>
            <a:buSzPts val="1400"/>
            <a:buFont typeface="Arial"/>
            <a:buNone/>
          </a:pPr>
          <a:r>
            <a:rPr lang="en-US" dirty="0">
              <a:latin typeface="Arial"/>
              <a:ea typeface="Arial"/>
              <a:cs typeface="Arial"/>
              <a:sym typeface="Arial"/>
            </a:rPr>
            <a:t>Treaties, Customary International Laws, Agreements, </a:t>
          </a:r>
          <a:r>
            <a:rPr lang="en-US" dirty="0">
              <a:latin typeface="Arial"/>
              <a:cs typeface="Arial"/>
              <a:sym typeface="Arial"/>
            </a:rPr>
            <a:t>Standards, </a:t>
          </a:r>
        </a:p>
        <a:p>
          <a:pPr>
            <a:buClr>
              <a:schemeClr val="lt2"/>
            </a:buClr>
            <a:buSzPts val="1400"/>
            <a:buFont typeface="Arial"/>
            <a:buNone/>
          </a:pPr>
          <a:r>
            <a:rPr lang="en-US" dirty="0">
              <a:latin typeface="Arial"/>
              <a:ea typeface="Arial"/>
              <a:cs typeface="Arial"/>
              <a:sym typeface="Arial"/>
            </a:rPr>
            <a:t>etc.</a:t>
          </a:r>
          <a:endParaRPr lang="en-US"/>
        </a:p>
      </dgm:t>
    </dgm:pt>
    <dgm:pt modelId="{DB641A04-7763-4CB7-A7A2-4CA7CEA491DC}" type="parTrans" cxnId="{6973E4A1-95B6-42FB-A793-931A5D6AF409}">
      <dgm:prSet/>
      <dgm:spPr/>
      <dgm:t>
        <a:bodyPr/>
        <a:lstStyle/>
        <a:p>
          <a:endParaRPr lang="en-US"/>
        </a:p>
      </dgm:t>
    </dgm:pt>
    <dgm:pt modelId="{E3FC83AF-C5A3-4857-9FE8-4C5B8CAA489E}" type="sibTrans" cxnId="{6973E4A1-95B6-42FB-A793-931A5D6AF409}">
      <dgm:prSet/>
      <dgm:spPr/>
      <dgm:t>
        <a:bodyPr/>
        <a:lstStyle/>
        <a:p>
          <a:endParaRPr lang="en-US"/>
        </a:p>
      </dgm:t>
    </dgm:pt>
    <dgm:pt modelId="{D9E2B729-A8EE-432A-BCC9-06B8C0E8A5F8}">
      <dgm:prSet phldrT="[Text]"/>
      <dgm:spPr/>
      <dgm:t>
        <a:bodyPr/>
        <a:lstStyle/>
        <a:p>
          <a:pPr>
            <a:buClr>
              <a:schemeClr val="lt2"/>
            </a:buClr>
            <a:buSzPts val="1800"/>
            <a:buFont typeface="Arial"/>
            <a:buNone/>
          </a:pPr>
          <a:r>
            <a:rPr lang="en-US" b="1" dirty="0">
              <a:latin typeface="Arial"/>
              <a:ea typeface="Arial"/>
              <a:cs typeface="Arial"/>
              <a:sym typeface="Arial"/>
            </a:rPr>
            <a:t>National</a:t>
          </a:r>
          <a:endParaRPr lang="en-US"/>
        </a:p>
      </dgm:t>
    </dgm:pt>
    <dgm:pt modelId="{D6038AA4-D64C-45E3-BDE9-22976A21DC42}" type="parTrans" cxnId="{828D0EE6-EEEA-44A7-8CE5-8706CF2337DF}">
      <dgm:prSet/>
      <dgm:spPr/>
      <dgm:t>
        <a:bodyPr/>
        <a:lstStyle/>
        <a:p>
          <a:endParaRPr lang="en-US"/>
        </a:p>
      </dgm:t>
    </dgm:pt>
    <dgm:pt modelId="{F5C67003-7856-4BE7-B41B-350B41CF0141}" type="sibTrans" cxnId="{828D0EE6-EEEA-44A7-8CE5-8706CF2337DF}">
      <dgm:prSet/>
      <dgm:spPr/>
      <dgm:t>
        <a:bodyPr/>
        <a:lstStyle/>
        <a:p>
          <a:endParaRPr lang="en-US"/>
        </a:p>
      </dgm:t>
    </dgm:pt>
    <dgm:pt modelId="{6546DB61-0B96-46EF-8E11-1E4F9733E0E3}">
      <dgm:prSet phldrT="[Text]"/>
      <dgm:spPr/>
      <dgm:t>
        <a:bodyPr/>
        <a:lstStyle/>
        <a:p>
          <a:pPr>
            <a:buClr>
              <a:schemeClr val="lt2"/>
            </a:buClr>
            <a:buSzPts val="1500"/>
            <a:buFont typeface="Arial"/>
            <a:buNone/>
          </a:pPr>
          <a:r>
            <a:rPr lang="en-US" b="1" i="0" u="none" strike="noStrike" cap="none" dirty="0">
              <a:latin typeface="Arial"/>
              <a:ea typeface="Arial"/>
              <a:cs typeface="Arial"/>
              <a:sym typeface="Arial"/>
            </a:rPr>
            <a:t>Administrative </a:t>
          </a:r>
          <a:r>
            <a:rPr lang="en-US" b="1" dirty="0">
              <a:latin typeface="Arial"/>
              <a:ea typeface="Arial"/>
              <a:cs typeface="Arial"/>
              <a:sym typeface="Arial"/>
            </a:rPr>
            <a:t>Mechanisms</a:t>
          </a:r>
          <a:endParaRPr lang="en-US" dirty="0"/>
        </a:p>
        <a:p>
          <a:pPr>
            <a:buClr>
              <a:schemeClr val="lt2"/>
            </a:buClr>
            <a:buSzPts val="1500"/>
            <a:buFont typeface="Arial"/>
            <a:buNone/>
          </a:pPr>
          <a:r>
            <a:rPr lang="en-US" b="0" i="0" u="none" strike="noStrike" cap="none" dirty="0">
              <a:latin typeface="Arial"/>
              <a:ea typeface="Arial"/>
              <a:cs typeface="Arial"/>
              <a:sym typeface="Arial"/>
            </a:rPr>
            <a:t>Standards, Targets, Permissions, Procedures, etc.</a:t>
          </a:r>
        </a:p>
      </dgm:t>
    </dgm:pt>
    <dgm:pt modelId="{908D2357-3687-48D2-822F-5E4003EB6DF6}" type="parTrans" cxnId="{602B2006-7CF6-4FBD-99D7-F5FF3646A77C}">
      <dgm:prSet/>
      <dgm:spPr/>
      <dgm:t>
        <a:bodyPr/>
        <a:lstStyle/>
        <a:p>
          <a:endParaRPr lang="en-US"/>
        </a:p>
      </dgm:t>
    </dgm:pt>
    <dgm:pt modelId="{3C59D3F0-8297-4F60-9BD5-46C813B9BFE0}" type="sibTrans" cxnId="{602B2006-7CF6-4FBD-99D7-F5FF3646A77C}">
      <dgm:prSet/>
      <dgm:spPr/>
      <dgm:t>
        <a:bodyPr/>
        <a:lstStyle/>
        <a:p>
          <a:endParaRPr lang="en-US"/>
        </a:p>
      </dgm:t>
    </dgm:pt>
    <dgm:pt modelId="{BF93470E-6CF5-48D8-A48D-BCD37E8FF1A4}">
      <dgm:prSet/>
      <dgm:spPr/>
      <dgm:t>
        <a:bodyPr/>
        <a:lstStyle/>
        <a:p>
          <a:r>
            <a:rPr lang="en-US" b="1" i="0" u="none" strike="noStrike" cap="none" dirty="0">
              <a:latin typeface="Arial"/>
              <a:ea typeface="Arial"/>
              <a:cs typeface="Arial"/>
              <a:sym typeface="Arial"/>
            </a:rPr>
            <a:t>Incentive Mechanisms</a:t>
          </a:r>
          <a:endParaRPr lang="en-US" b="1" dirty="0">
            <a:latin typeface="Arial"/>
            <a:ea typeface="Arial"/>
            <a:cs typeface="Arial"/>
            <a:sym typeface="Arial"/>
          </a:endParaRPr>
        </a:p>
      </dgm:t>
    </dgm:pt>
    <dgm:pt modelId="{B79B7348-42EA-44F9-89E3-136E87C5CE7F}" type="parTrans" cxnId="{776EF886-0A09-456A-881D-30F37A1131C6}">
      <dgm:prSet/>
      <dgm:spPr/>
      <dgm:t>
        <a:bodyPr/>
        <a:lstStyle/>
        <a:p>
          <a:endParaRPr lang="en-US"/>
        </a:p>
      </dgm:t>
    </dgm:pt>
    <dgm:pt modelId="{0FBE7C9B-BE51-47FB-AFDE-19C840F114FB}" type="sibTrans" cxnId="{776EF886-0A09-456A-881D-30F37A1131C6}">
      <dgm:prSet/>
      <dgm:spPr/>
      <dgm:t>
        <a:bodyPr/>
        <a:lstStyle/>
        <a:p>
          <a:endParaRPr lang="en-US"/>
        </a:p>
      </dgm:t>
    </dgm:pt>
    <dgm:pt modelId="{FC62A393-0A3B-4518-A3DF-2697483C579C}">
      <dgm:prSet/>
      <dgm:spPr/>
      <dgm:t>
        <a:bodyPr/>
        <a:lstStyle/>
        <a:p>
          <a:r>
            <a:rPr lang="en-US" b="1" i="0" u="none" strike="noStrike" cap="none" dirty="0">
              <a:latin typeface="Arial"/>
              <a:ea typeface="Arial"/>
              <a:cs typeface="Arial"/>
              <a:sym typeface="Arial"/>
            </a:rPr>
            <a:t>Market or Quantity Mechanisms</a:t>
          </a:r>
          <a:endParaRPr lang="en-US" dirty="0"/>
        </a:p>
        <a:p>
          <a:pPr>
            <a:buClr>
              <a:schemeClr val="lt2"/>
            </a:buClr>
            <a:buSzPts val="1400"/>
            <a:buFont typeface="Arial"/>
            <a:buNone/>
          </a:pPr>
          <a:r>
            <a:rPr lang="en-US" b="0" i="0" u="none" strike="noStrike" cap="none" dirty="0">
              <a:latin typeface="Arial"/>
              <a:ea typeface="Arial"/>
              <a:cs typeface="Arial"/>
              <a:sym typeface="Arial"/>
            </a:rPr>
            <a:t>Tradeable Permits, Quotas, Franchises, etc</a:t>
          </a:r>
          <a:r>
            <a:rPr lang="en-US" b="1" i="0" u="none" strike="noStrike" cap="none" dirty="0">
              <a:latin typeface="Arial"/>
              <a:ea typeface="Arial"/>
              <a:cs typeface="Arial"/>
              <a:sym typeface="Arial"/>
            </a:rPr>
            <a:t>.</a:t>
          </a:r>
          <a:endParaRPr lang="en-US" dirty="0"/>
        </a:p>
      </dgm:t>
    </dgm:pt>
    <dgm:pt modelId="{EB4221C4-EB7E-4AC8-8226-96EB8E388EF9}" type="parTrans" cxnId="{4F4E07AD-5E69-4A7C-B29A-5DDA123D6E8B}">
      <dgm:prSet/>
      <dgm:spPr/>
      <dgm:t>
        <a:bodyPr/>
        <a:lstStyle/>
        <a:p>
          <a:endParaRPr lang="en-US"/>
        </a:p>
      </dgm:t>
    </dgm:pt>
    <dgm:pt modelId="{F9148F95-C12B-41C1-9B55-5A9D8554A419}" type="sibTrans" cxnId="{4F4E07AD-5E69-4A7C-B29A-5DDA123D6E8B}">
      <dgm:prSet/>
      <dgm:spPr/>
      <dgm:t>
        <a:bodyPr/>
        <a:lstStyle/>
        <a:p>
          <a:endParaRPr lang="en-US"/>
        </a:p>
      </dgm:t>
    </dgm:pt>
    <dgm:pt modelId="{39B66F9E-EEC9-4BFC-A4F0-0D7F402174E7}">
      <dgm:prSet/>
      <dgm:spPr/>
      <dgm:t>
        <a:bodyPr/>
        <a:lstStyle/>
        <a:p>
          <a:r>
            <a:rPr lang="en-US" b="1" i="0" u="none" strike="noStrike" cap="none" dirty="0">
              <a:latin typeface="Arial"/>
              <a:ea typeface="Arial"/>
              <a:cs typeface="Arial"/>
              <a:sym typeface="Arial"/>
            </a:rPr>
            <a:t>Price Mechanisms</a:t>
          </a:r>
        </a:p>
        <a:p>
          <a:r>
            <a:rPr lang="en-US" b="0" i="0" u="none" strike="noStrike" cap="none" dirty="0">
              <a:latin typeface="Arial"/>
              <a:ea typeface="Arial"/>
              <a:cs typeface="Arial"/>
              <a:sym typeface="Arial"/>
            </a:rPr>
            <a:t>Fees, Subsidies, Taxes, Refunds,Contracts, etc.</a:t>
          </a:r>
          <a:endParaRPr lang="en-US" dirty="0"/>
        </a:p>
      </dgm:t>
    </dgm:pt>
    <dgm:pt modelId="{D442BBD4-BA36-4166-BF88-871262FE1826}" type="parTrans" cxnId="{DC318377-BC15-45A0-AF2E-536848ABD73C}">
      <dgm:prSet/>
      <dgm:spPr/>
      <dgm:t>
        <a:bodyPr/>
        <a:lstStyle/>
        <a:p>
          <a:endParaRPr lang="en-US"/>
        </a:p>
      </dgm:t>
    </dgm:pt>
    <dgm:pt modelId="{0FA73D47-0B32-42D0-8B8D-51EAA7E52062}" type="sibTrans" cxnId="{DC318377-BC15-45A0-AF2E-536848ABD73C}">
      <dgm:prSet/>
      <dgm:spPr/>
      <dgm:t>
        <a:bodyPr/>
        <a:lstStyle/>
        <a:p>
          <a:endParaRPr lang="en-US"/>
        </a:p>
      </dgm:t>
    </dgm:pt>
    <dgm:pt modelId="{F3247148-36F4-41F6-AA3F-67CA85C1FF54}">
      <dgm:prSet/>
      <dgm:spPr/>
      <dgm:t>
        <a:bodyPr/>
        <a:lstStyle/>
        <a:p>
          <a:r>
            <a:rPr lang="en-US" b="1" i="0" u="none" strike="noStrike" cap="none" dirty="0">
              <a:latin typeface="Arial"/>
              <a:ea typeface="Arial"/>
              <a:cs typeface="Arial"/>
              <a:sym typeface="Arial"/>
            </a:rPr>
            <a:t>Incentive Mechanisms</a:t>
          </a:r>
        </a:p>
        <a:p>
          <a:r>
            <a:rPr lang="en-US" b="0" i="0" u="none" strike="noStrike" cap="none" dirty="0">
              <a:latin typeface="Arial"/>
              <a:cs typeface="Arial"/>
              <a:sym typeface="Arial"/>
            </a:rPr>
            <a:t>Finance, Support, Coordination, etc.</a:t>
          </a:r>
          <a:endParaRPr lang="en-US" b="0"/>
        </a:p>
      </dgm:t>
    </dgm:pt>
    <dgm:pt modelId="{48418E0D-FDF8-40AA-973D-5A32EF0F5BF4}" type="parTrans" cxnId="{4D42EBC5-45C5-49FF-8BBD-138C201D324A}">
      <dgm:prSet/>
      <dgm:spPr/>
      <dgm:t>
        <a:bodyPr/>
        <a:lstStyle/>
        <a:p>
          <a:endParaRPr lang="en-US"/>
        </a:p>
      </dgm:t>
    </dgm:pt>
    <dgm:pt modelId="{9F4EDAA0-5163-45A6-910F-E9D132244599}" type="sibTrans" cxnId="{4D42EBC5-45C5-49FF-8BBD-138C201D324A}">
      <dgm:prSet/>
      <dgm:spPr/>
      <dgm:t>
        <a:bodyPr/>
        <a:lstStyle/>
        <a:p>
          <a:endParaRPr lang="en-US"/>
        </a:p>
      </dgm:t>
    </dgm:pt>
    <dgm:pt modelId="{0CC552BA-7EF4-4AB6-A16A-3D2743B707F7}" type="pres">
      <dgm:prSet presAssocID="{FD43A33B-2DDA-4626-8FD5-0FE49F70EB14}" presName="diagram" presStyleCnt="0">
        <dgm:presLayoutVars>
          <dgm:chPref val="1"/>
          <dgm:dir/>
          <dgm:animOne val="branch"/>
          <dgm:animLvl val="lvl"/>
          <dgm:resizeHandles val="exact"/>
        </dgm:presLayoutVars>
      </dgm:prSet>
      <dgm:spPr/>
    </dgm:pt>
    <dgm:pt modelId="{A921CB94-8CD6-44AF-88C6-2C007E05F650}" type="pres">
      <dgm:prSet presAssocID="{3DD7D010-5420-47F9-8F83-8148B963027F}" presName="root1" presStyleCnt="0"/>
      <dgm:spPr/>
    </dgm:pt>
    <dgm:pt modelId="{7B3F88B5-2670-4739-A8F7-D16A655676C5}" type="pres">
      <dgm:prSet presAssocID="{3DD7D010-5420-47F9-8F83-8148B963027F}" presName="LevelOneTextNode" presStyleLbl="node0" presStyleIdx="0" presStyleCnt="1">
        <dgm:presLayoutVars>
          <dgm:chPref val="3"/>
        </dgm:presLayoutVars>
      </dgm:prSet>
      <dgm:spPr/>
    </dgm:pt>
    <dgm:pt modelId="{3E112F53-6602-4DBA-B904-0547D3FFD9FA}" type="pres">
      <dgm:prSet presAssocID="{3DD7D010-5420-47F9-8F83-8148B963027F}" presName="level2hierChild" presStyleCnt="0"/>
      <dgm:spPr/>
    </dgm:pt>
    <dgm:pt modelId="{5510A647-9EE6-46E8-8BF8-43A967E1AE6C}" type="pres">
      <dgm:prSet presAssocID="{A1C217A4-D7A8-425B-8806-5FF241B7E945}" presName="conn2-1" presStyleLbl="parChTrans1D2" presStyleIdx="0" presStyleCnt="2"/>
      <dgm:spPr/>
    </dgm:pt>
    <dgm:pt modelId="{B3894EC8-FFD4-48AC-AB19-1BE0BD8AB73E}" type="pres">
      <dgm:prSet presAssocID="{A1C217A4-D7A8-425B-8806-5FF241B7E945}" presName="connTx" presStyleLbl="parChTrans1D2" presStyleIdx="0" presStyleCnt="2"/>
      <dgm:spPr/>
    </dgm:pt>
    <dgm:pt modelId="{84CDF6B3-B679-4116-AD89-DC86853B4428}" type="pres">
      <dgm:prSet presAssocID="{2FEE737C-165F-43CC-83BA-19F5F97CA638}" presName="root2" presStyleCnt="0"/>
      <dgm:spPr/>
    </dgm:pt>
    <dgm:pt modelId="{266CC2AC-60AA-46B9-BB08-1A90C0070593}" type="pres">
      <dgm:prSet presAssocID="{2FEE737C-165F-43CC-83BA-19F5F97CA638}" presName="LevelTwoTextNode" presStyleLbl="node2" presStyleIdx="0" presStyleCnt="2">
        <dgm:presLayoutVars>
          <dgm:chPref val="3"/>
        </dgm:presLayoutVars>
      </dgm:prSet>
      <dgm:spPr/>
    </dgm:pt>
    <dgm:pt modelId="{C6349D12-B7B4-4095-8192-C6A51B1AD8FB}" type="pres">
      <dgm:prSet presAssocID="{2FEE737C-165F-43CC-83BA-19F5F97CA638}" presName="level3hierChild" presStyleCnt="0"/>
      <dgm:spPr/>
    </dgm:pt>
    <dgm:pt modelId="{D89ECFF0-5CDD-4063-9242-F68C26C0C0A2}" type="pres">
      <dgm:prSet presAssocID="{DB641A04-7763-4CB7-A7A2-4CA7CEA491DC}" presName="conn2-1" presStyleLbl="parChTrans1D3" presStyleIdx="0" presStyleCnt="4"/>
      <dgm:spPr/>
    </dgm:pt>
    <dgm:pt modelId="{67B42E6E-2C95-4664-9A97-E1C386883AB9}" type="pres">
      <dgm:prSet presAssocID="{DB641A04-7763-4CB7-A7A2-4CA7CEA491DC}" presName="connTx" presStyleLbl="parChTrans1D3" presStyleIdx="0" presStyleCnt="4"/>
      <dgm:spPr/>
    </dgm:pt>
    <dgm:pt modelId="{5DDEC4CC-60EB-4216-9669-B0D20BB67D8D}" type="pres">
      <dgm:prSet presAssocID="{F53B62B4-4C67-4749-8FE9-EC1188D8F49C}" presName="root2" presStyleCnt="0"/>
      <dgm:spPr/>
    </dgm:pt>
    <dgm:pt modelId="{89B986EA-5B0A-4A7E-9489-54C30CF00770}" type="pres">
      <dgm:prSet presAssocID="{F53B62B4-4C67-4749-8FE9-EC1188D8F49C}" presName="LevelTwoTextNode" presStyleLbl="node3" presStyleIdx="0" presStyleCnt="4" custLinFactNeighborX="-6622" custLinFactNeighborY="-16037">
        <dgm:presLayoutVars>
          <dgm:chPref val="3"/>
        </dgm:presLayoutVars>
      </dgm:prSet>
      <dgm:spPr/>
    </dgm:pt>
    <dgm:pt modelId="{FE4E02BF-CE64-4FAE-AAC8-8CF750B4A951}" type="pres">
      <dgm:prSet presAssocID="{F53B62B4-4C67-4749-8FE9-EC1188D8F49C}" presName="level3hierChild" presStyleCnt="0"/>
      <dgm:spPr/>
    </dgm:pt>
    <dgm:pt modelId="{A481D2BB-D13F-4A40-8294-EDA715C10EA1}" type="pres">
      <dgm:prSet presAssocID="{48418E0D-FDF8-40AA-973D-5A32EF0F5BF4}" presName="conn2-1" presStyleLbl="parChTrans1D3" presStyleIdx="1" presStyleCnt="4"/>
      <dgm:spPr/>
    </dgm:pt>
    <dgm:pt modelId="{7E30CB47-7913-4D43-887C-8F06C8B06D5A}" type="pres">
      <dgm:prSet presAssocID="{48418E0D-FDF8-40AA-973D-5A32EF0F5BF4}" presName="connTx" presStyleLbl="parChTrans1D3" presStyleIdx="1" presStyleCnt="4"/>
      <dgm:spPr/>
    </dgm:pt>
    <dgm:pt modelId="{73A01330-631C-4E52-8FF3-C96CDD31E17A}" type="pres">
      <dgm:prSet presAssocID="{F3247148-36F4-41F6-AA3F-67CA85C1FF54}" presName="root2" presStyleCnt="0"/>
      <dgm:spPr/>
    </dgm:pt>
    <dgm:pt modelId="{867E89E4-22AC-4DEA-805D-E9EE85F29D59}" type="pres">
      <dgm:prSet presAssocID="{F3247148-36F4-41F6-AA3F-67CA85C1FF54}" presName="LevelTwoTextNode" presStyleLbl="node3" presStyleIdx="1" presStyleCnt="4" custLinFactNeighborX="-5418" custLinFactNeighborY="-9632">
        <dgm:presLayoutVars>
          <dgm:chPref val="3"/>
        </dgm:presLayoutVars>
      </dgm:prSet>
      <dgm:spPr/>
    </dgm:pt>
    <dgm:pt modelId="{EA22A2D0-3B96-48E7-A9D9-665A0BEBC5D6}" type="pres">
      <dgm:prSet presAssocID="{F3247148-36F4-41F6-AA3F-67CA85C1FF54}" presName="level3hierChild" presStyleCnt="0"/>
      <dgm:spPr/>
    </dgm:pt>
    <dgm:pt modelId="{F3B7E211-9D7D-449B-A4A5-1D3CB3922794}" type="pres">
      <dgm:prSet presAssocID="{D6038AA4-D64C-45E3-BDE9-22976A21DC42}" presName="conn2-1" presStyleLbl="parChTrans1D2" presStyleIdx="1" presStyleCnt="2"/>
      <dgm:spPr/>
    </dgm:pt>
    <dgm:pt modelId="{716FBC9A-4D15-4F43-97B3-B14EC33DD2A6}" type="pres">
      <dgm:prSet presAssocID="{D6038AA4-D64C-45E3-BDE9-22976A21DC42}" presName="connTx" presStyleLbl="parChTrans1D2" presStyleIdx="1" presStyleCnt="2"/>
      <dgm:spPr/>
    </dgm:pt>
    <dgm:pt modelId="{996D6A58-9818-473B-B349-8A687179930D}" type="pres">
      <dgm:prSet presAssocID="{D9E2B729-A8EE-432A-BCC9-06B8C0E8A5F8}" presName="root2" presStyleCnt="0"/>
      <dgm:spPr/>
    </dgm:pt>
    <dgm:pt modelId="{1DE74683-B2FE-463A-A0BC-655C81032D86}" type="pres">
      <dgm:prSet presAssocID="{D9E2B729-A8EE-432A-BCC9-06B8C0E8A5F8}" presName="LevelTwoTextNode" presStyleLbl="node2" presStyleIdx="1" presStyleCnt="2" custLinFactNeighborY="27692">
        <dgm:presLayoutVars>
          <dgm:chPref val="3"/>
        </dgm:presLayoutVars>
      </dgm:prSet>
      <dgm:spPr/>
    </dgm:pt>
    <dgm:pt modelId="{88032E7C-60BF-4080-910A-A4C3DC419153}" type="pres">
      <dgm:prSet presAssocID="{D9E2B729-A8EE-432A-BCC9-06B8C0E8A5F8}" presName="level3hierChild" presStyleCnt="0"/>
      <dgm:spPr/>
    </dgm:pt>
    <dgm:pt modelId="{F6312109-267C-47EF-A581-F04D8377585E}" type="pres">
      <dgm:prSet presAssocID="{908D2357-3687-48D2-822F-5E4003EB6DF6}" presName="conn2-1" presStyleLbl="parChTrans1D3" presStyleIdx="2" presStyleCnt="4"/>
      <dgm:spPr/>
    </dgm:pt>
    <dgm:pt modelId="{0513EE5A-0608-44BC-8AA9-0F9029557C78}" type="pres">
      <dgm:prSet presAssocID="{908D2357-3687-48D2-822F-5E4003EB6DF6}" presName="connTx" presStyleLbl="parChTrans1D3" presStyleIdx="2" presStyleCnt="4"/>
      <dgm:spPr/>
    </dgm:pt>
    <dgm:pt modelId="{F11913D7-9883-4BCE-8C23-E9343ECFEFA0}" type="pres">
      <dgm:prSet presAssocID="{6546DB61-0B96-46EF-8E11-1E4F9733E0E3}" presName="root2" presStyleCnt="0"/>
      <dgm:spPr/>
    </dgm:pt>
    <dgm:pt modelId="{4306BD32-AB47-440D-8690-8665DCE5A6CD}" type="pres">
      <dgm:prSet presAssocID="{6546DB61-0B96-46EF-8E11-1E4F9733E0E3}" presName="LevelTwoTextNode" presStyleLbl="node3" presStyleIdx="2" presStyleCnt="4" custLinFactNeighborX="-4214" custLinFactNeighborY="13244">
        <dgm:presLayoutVars>
          <dgm:chPref val="3"/>
        </dgm:presLayoutVars>
      </dgm:prSet>
      <dgm:spPr/>
    </dgm:pt>
    <dgm:pt modelId="{0E11D572-B6B7-4A6F-9D6B-22BD40D0F87A}" type="pres">
      <dgm:prSet presAssocID="{6546DB61-0B96-46EF-8E11-1E4F9733E0E3}" presName="level3hierChild" presStyleCnt="0"/>
      <dgm:spPr/>
    </dgm:pt>
    <dgm:pt modelId="{F18D6346-7A7C-484B-A300-37AA8101BE24}" type="pres">
      <dgm:prSet presAssocID="{B79B7348-42EA-44F9-89E3-136E87C5CE7F}" presName="conn2-1" presStyleLbl="parChTrans1D3" presStyleIdx="3" presStyleCnt="4"/>
      <dgm:spPr/>
    </dgm:pt>
    <dgm:pt modelId="{79E6A5C2-4FDE-48B8-807F-1BEBC387BD44}" type="pres">
      <dgm:prSet presAssocID="{B79B7348-42EA-44F9-89E3-136E87C5CE7F}" presName="connTx" presStyleLbl="parChTrans1D3" presStyleIdx="3" presStyleCnt="4"/>
      <dgm:spPr/>
    </dgm:pt>
    <dgm:pt modelId="{E6149A24-0278-4A87-AE93-B108B7F6ED8C}" type="pres">
      <dgm:prSet presAssocID="{BF93470E-6CF5-48D8-A48D-BCD37E8FF1A4}" presName="root2" presStyleCnt="0"/>
      <dgm:spPr/>
    </dgm:pt>
    <dgm:pt modelId="{5AF42B1F-9883-45D5-A669-B1B6BD3B9205}" type="pres">
      <dgm:prSet presAssocID="{BF93470E-6CF5-48D8-A48D-BCD37E8FF1A4}" presName="LevelTwoTextNode" presStyleLbl="node3" presStyleIdx="3" presStyleCnt="4" custLinFactNeighborX="-3010" custLinFactNeighborY="20468">
        <dgm:presLayoutVars>
          <dgm:chPref val="3"/>
        </dgm:presLayoutVars>
      </dgm:prSet>
      <dgm:spPr/>
    </dgm:pt>
    <dgm:pt modelId="{078D9090-318A-4B14-9345-848DF5606305}" type="pres">
      <dgm:prSet presAssocID="{BF93470E-6CF5-48D8-A48D-BCD37E8FF1A4}" presName="level3hierChild" presStyleCnt="0"/>
      <dgm:spPr/>
    </dgm:pt>
    <dgm:pt modelId="{D7DE3AC6-B2EF-4CEF-966F-3EEBD450DE00}" type="pres">
      <dgm:prSet presAssocID="{D442BBD4-BA36-4166-BF88-871262FE1826}" presName="conn2-1" presStyleLbl="parChTrans1D4" presStyleIdx="0" presStyleCnt="2"/>
      <dgm:spPr/>
    </dgm:pt>
    <dgm:pt modelId="{13BC4886-CD65-4EDC-B84A-38F081786528}" type="pres">
      <dgm:prSet presAssocID="{D442BBD4-BA36-4166-BF88-871262FE1826}" presName="connTx" presStyleLbl="parChTrans1D4" presStyleIdx="0" presStyleCnt="2"/>
      <dgm:spPr/>
    </dgm:pt>
    <dgm:pt modelId="{6D52AFB1-67A8-4D6C-9105-73FF02E46358}" type="pres">
      <dgm:prSet presAssocID="{39B66F9E-EEC9-4BFC-A4F0-0D7F402174E7}" presName="root2" presStyleCnt="0"/>
      <dgm:spPr/>
    </dgm:pt>
    <dgm:pt modelId="{E75BD03C-6DF0-4ED8-B21A-326EBE3023DB}" type="pres">
      <dgm:prSet presAssocID="{39B66F9E-EEC9-4BFC-A4F0-0D7F402174E7}" presName="LevelTwoTextNode" presStyleLbl="node4" presStyleIdx="0" presStyleCnt="2" custLinFactNeighborX="-5418" custLinFactNeighborY="14448">
        <dgm:presLayoutVars>
          <dgm:chPref val="3"/>
        </dgm:presLayoutVars>
      </dgm:prSet>
      <dgm:spPr/>
    </dgm:pt>
    <dgm:pt modelId="{BB7E2817-A0F9-47A2-A2D9-48D1A017DE32}" type="pres">
      <dgm:prSet presAssocID="{39B66F9E-EEC9-4BFC-A4F0-0D7F402174E7}" presName="level3hierChild" presStyleCnt="0"/>
      <dgm:spPr/>
    </dgm:pt>
    <dgm:pt modelId="{5F5997B0-1C0C-4EBA-AFAC-9A95DEF4CAA0}" type="pres">
      <dgm:prSet presAssocID="{EB4221C4-EB7E-4AC8-8226-96EB8E388EF9}" presName="conn2-1" presStyleLbl="parChTrans1D4" presStyleIdx="1" presStyleCnt="2"/>
      <dgm:spPr/>
    </dgm:pt>
    <dgm:pt modelId="{7DD4D5B1-6089-49DE-B745-1F90A947D0B7}" type="pres">
      <dgm:prSet presAssocID="{EB4221C4-EB7E-4AC8-8226-96EB8E388EF9}" presName="connTx" presStyleLbl="parChTrans1D4" presStyleIdx="1" presStyleCnt="2"/>
      <dgm:spPr/>
    </dgm:pt>
    <dgm:pt modelId="{ABCA62A2-6056-4E0C-A329-3B9368FB4A25}" type="pres">
      <dgm:prSet presAssocID="{FC62A393-0A3B-4518-A3DF-2697483C579C}" presName="root2" presStyleCnt="0"/>
      <dgm:spPr/>
    </dgm:pt>
    <dgm:pt modelId="{08CD5553-2950-4D5C-9E62-FCF5B07A4AC4}" type="pres">
      <dgm:prSet presAssocID="{FC62A393-0A3B-4518-A3DF-2697483C579C}" presName="LevelTwoTextNode" presStyleLbl="node4" presStyleIdx="1" presStyleCnt="2" custLinFactNeighborX="-3010" custLinFactNeighborY="19264">
        <dgm:presLayoutVars>
          <dgm:chPref val="3"/>
        </dgm:presLayoutVars>
      </dgm:prSet>
      <dgm:spPr/>
    </dgm:pt>
    <dgm:pt modelId="{5A125B7D-E9D5-4A7C-94F5-FDB36A2E5602}" type="pres">
      <dgm:prSet presAssocID="{FC62A393-0A3B-4518-A3DF-2697483C579C}" presName="level3hierChild" presStyleCnt="0"/>
      <dgm:spPr/>
    </dgm:pt>
  </dgm:ptLst>
  <dgm:cxnLst>
    <dgm:cxn modelId="{45755902-FBB0-46A3-A451-BD216435D20E}" srcId="{3DD7D010-5420-47F9-8F83-8148B963027F}" destId="{2FEE737C-165F-43CC-83BA-19F5F97CA638}" srcOrd="0" destOrd="0" parTransId="{A1C217A4-D7A8-425B-8806-5FF241B7E945}" sibTransId="{0322815F-696F-428F-B2F3-FCE253F1FC72}"/>
    <dgm:cxn modelId="{E8604903-B47A-461B-80D0-2B100C0B3F43}" type="presOf" srcId="{FD43A33B-2DDA-4626-8FD5-0FE49F70EB14}" destId="{0CC552BA-7EF4-4AB6-A16A-3D2743B707F7}" srcOrd="0" destOrd="0" presId="urn:microsoft.com/office/officeart/2005/8/layout/hierarchy2"/>
    <dgm:cxn modelId="{42791905-9A5A-4CE4-A4B9-FC44917A4C5D}" type="presOf" srcId="{3DD7D010-5420-47F9-8F83-8148B963027F}" destId="{7B3F88B5-2670-4739-A8F7-D16A655676C5}" srcOrd="0" destOrd="0" presId="urn:microsoft.com/office/officeart/2005/8/layout/hierarchy2"/>
    <dgm:cxn modelId="{602B2006-7CF6-4FBD-99D7-F5FF3646A77C}" srcId="{D9E2B729-A8EE-432A-BCC9-06B8C0E8A5F8}" destId="{6546DB61-0B96-46EF-8E11-1E4F9733E0E3}" srcOrd="0" destOrd="0" parTransId="{908D2357-3687-48D2-822F-5E4003EB6DF6}" sibTransId="{3C59D3F0-8297-4F60-9BD5-46C813B9BFE0}"/>
    <dgm:cxn modelId="{0A1B0F0F-E4F5-41DB-91F6-022915DDE8B5}" type="presOf" srcId="{2FEE737C-165F-43CC-83BA-19F5F97CA638}" destId="{266CC2AC-60AA-46B9-BB08-1A90C0070593}" srcOrd="0" destOrd="0" presId="urn:microsoft.com/office/officeart/2005/8/layout/hierarchy2"/>
    <dgm:cxn modelId="{F86FE113-9785-4837-84B9-E51E72845CDD}" type="presOf" srcId="{EB4221C4-EB7E-4AC8-8226-96EB8E388EF9}" destId="{7DD4D5B1-6089-49DE-B745-1F90A947D0B7}" srcOrd="1" destOrd="0" presId="urn:microsoft.com/office/officeart/2005/8/layout/hierarchy2"/>
    <dgm:cxn modelId="{FB2A3615-561D-4E65-B59A-4930D3AA17C2}" type="presOf" srcId="{908D2357-3687-48D2-822F-5E4003EB6DF6}" destId="{F6312109-267C-47EF-A581-F04D8377585E}" srcOrd="0" destOrd="0" presId="urn:microsoft.com/office/officeart/2005/8/layout/hierarchy2"/>
    <dgm:cxn modelId="{B9920A1A-A24F-4ABC-8D0A-1DF18E437D6B}" type="presOf" srcId="{6546DB61-0B96-46EF-8E11-1E4F9733E0E3}" destId="{4306BD32-AB47-440D-8690-8665DCE5A6CD}" srcOrd="0" destOrd="0" presId="urn:microsoft.com/office/officeart/2005/8/layout/hierarchy2"/>
    <dgm:cxn modelId="{C843D330-76D6-4104-837C-E74BE091EFF8}" type="presOf" srcId="{FC62A393-0A3B-4518-A3DF-2697483C579C}" destId="{08CD5553-2950-4D5C-9E62-FCF5B07A4AC4}" srcOrd="0" destOrd="0" presId="urn:microsoft.com/office/officeart/2005/8/layout/hierarchy2"/>
    <dgm:cxn modelId="{BE2ABB47-BE05-4AC7-B01E-13BEF0203D7A}" type="presOf" srcId="{BF93470E-6CF5-48D8-A48D-BCD37E8FF1A4}" destId="{5AF42B1F-9883-45D5-A669-B1B6BD3B9205}" srcOrd="0" destOrd="0" presId="urn:microsoft.com/office/officeart/2005/8/layout/hierarchy2"/>
    <dgm:cxn modelId="{32F06A4A-BADB-4A44-B8E9-555F8A59BDCA}" type="presOf" srcId="{D6038AA4-D64C-45E3-BDE9-22976A21DC42}" destId="{F3B7E211-9D7D-449B-A4A5-1D3CB3922794}" srcOrd="0" destOrd="0" presId="urn:microsoft.com/office/officeart/2005/8/layout/hierarchy2"/>
    <dgm:cxn modelId="{5D622471-4CAD-4093-A948-D15EC419D2FF}" type="presOf" srcId="{F3247148-36F4-41F6-AA3F-67CA85C1FF54}" destId="{867E89E4-22AC-4DEA-805D-E9EE85F29D59}" srcOrd="0" destOrd="0" presId="urn:microsoft.com/office/officeart/2005/8/layout/hierarchy2"/>
    <dgm:cxn modelId="{82FE5751-D590-410C-B847-E9F2CF020C06}" type="presOf" srcId="{F53B62B4-4C67-4749-8FE9-EC1188D8F49C}" destId="{89B986EA-5B0A-4A7E-9489-54C30CF00770}" srcOrd="0" destOrd="0" presId="urn:microsoft.com/office/officeart/2005/8/layout/hierarchy2"/>
    <dgm:cxn modelId="{A84BE653-CC93-4556-8D02-32546C247940}" type="presOf" srcId="{A1C217A4-D7A8-425B-8806-5FF241B7E945}" destId="{B3894EC8-FFD4-48AC-AB19-1BE0BD8AB73E}" srcOrd="1" destOrd="0" presId="urn:microsoft.com/office/officeart/2005/8/layout/hierarchy2"/>
    <dgm:cxn modelId="{DC318377-BC15-45A0-AF2E-536848ABD73C}" srcId="{BF93470E-6CF5-48D8-A48D-BCD37E8FF1A4}" destId="{39B66F9E-EEC9-4BFC-A4F0-0D7F402174E7}" srcOrd="0" destOrd="0" parTransId="{D442BBD4-BA36-4166-BF88-871262FE1826}" sibTransId="{0FA73D47-0B32-42D0-8B8D-51EAA7E52062}"/>
    <dgm:cxn modelId="{75A9EE59-2A14-485C-8700-113224C397FB}" type="presOf" srcId="{DB641A04-7763-4CB7-A7A2-4CA7CEA491DC}" destId="{67B42E6E-2C95-4664-9A97-E1C386883AB9}" srcOrd="1" destOrd="0" presId="urn:microsoft.com/office/officeart/2005/8/layout/hierarchy2"/>
    <dgm:cxn modelId="{776EF886-0A09-456A-881D-30F37A1131C6}" srcId="{D9E2B729-A8EE-432A-BCC9-06B8C0E8A5F8}" destId="{BF93470E-6CF5-48D8-A48D-BCD37E8FF1A4}" srcOrd="1" destOrd="0" parTransId="{B79B7348-42EA-44F9-89E3-136E87C5CE7F}" sibTransId="{0FBE7C9B-BE51-47FB-AFDE-19C840F114FB}"/>
    <dgm:cxn modelId="{6973E4A1-95B6-42FB-A793-931A5D6AF409}" srcId="{2FEE737C-165F-43CC-83BA-19F5F97CA638}" destId="{F53B62B4-4C67-4749-8FE9-EC1188D8F49C}" srcOrd="0" destOrd="0" parTransId="{DB641A04-7763-4CB7-A7A2-4CA7CEA491DC}" sibTransId="{E3FC83AF-C5A3-4857-9FE8-4C5B8CAA489E}"/>
    <dgm:cxn modelId="{EAD322A2-3B02-4B73-B93B-DBADAB862AE7}" type="presOf" srcId="{B79B7348-42EA-44F9-89E3-136E87C5CE7F}" destId="{F18D6346-7A7C-484B-A300-37AA8101BE24}" srcOrd="0" destOrd="0" presId="urn:microsoft.com/office/officeart/2005/8/layout/hierarchy2"/>
    <dgm:cxn modelId="{1C59DFA4-917E-481D-BD5B-C435E728A221}" type="presOf" srcId="{39B66F9E-EEC9-4BFC-A4F0-0D7F402174E7}" destId="{E75BD03C-6DF0-4ED8-B21A-326EBE3023DB}" srcOrd="0" destOrd="0" presId="urn:microsoft.com/office/officeart/2005/8/layout/hierarchy2"/>
    <dgm:cxn modelId="{4F4E07AD-5E69-4A7C-B29A-5DDA123D6E8B}" srcId="{BF93470E-6CF5-48D8-A48D-BCD37E8FF1A4}" destId="{FC62A393-0A3B-4518-A3DF-2697483C579C}" srcOrd="1" destOrd="0" parTransId="{EB4221C4-EB7E-4AC8-8226-96EB8E388EF9}" sibTransId="{F9148F95-C12B-41C1-9B55-5A9D8554A419}"/>
    <dgm:cxn modelId="{75F991AD-2EFB-44E4-A07F-1E07EEFF4CA2}" type="presOf" srcId="{D442BBD4-BA36-4166-BF88-871262FE1826}" destId="{13BC4886-CD65-4EDC-B84A-38F081786528}" srcOrd="1" destOrd="0" presId="urn:microsoft.com/office/officeart/2005/8/layout/hierarchy2"/>
    <dgm:cxn modelId="{C21C8FB0-EEC8-4263-8E12-9D6EA2B05E52}" type="presOf" srcId="{48418E0D-FDF8-40AA-973D-5A32EF0F5BF4}" destId="{A481D2BB-D13F-4A40-8294-EDA715C10EA1}" srcOrd="0" destOrd="0" presId="urn:microsoft.com/office/officeart/2005/8/layout/hierarchy2"/>
    <dgm:cxn modelId="{3913DBB9-8E8F-4184-91C5-EDFFE2D3DCCA}" srcId="{FD43A33B-2DDA-4626-8FD5-0FE49F70EB14}" destId="{3DD7D010-5420-47F9-8F83-8148B963027F}" srcOrd="0" destOrd="0" parTransId="{80DEC497-DAD6-40DF-9173-2F419BFC9E7D}" sibTransId="{D1E5B915-673A-4C08-941F-3DFB85D89630}"/>
    <dgm:cxn modelId="{4D42EBC5-45C5-49FF-8BBD-138C201D324A}" srcId="{2FEE737C-165F-43CC-83BA-19F5F97CA638}" destId="{F3247148-36F4-41F6-AA3F-67CA85C1FF54}" srcOrd="1" destOrd="0" parTransId="{48418E0D-FDF8-40AA-973D-5A32EF0F5BF4}" sibTransId="{9F4EDAA0-5163-45A6-910F-E9D132244599}"/>
    <dgm:cxn modelId="{7DF960C7-879F-44F7-AF9A-721FB1D0FB26}" type="presOf" srcId="{B79B7348-42EA-44F9-89E3-136E87C5CE7F}" destId="{79E6A5C2-4FDE-48B8-807F-1BEBC387BD44}" srcOrd="1" destOrd="0" presId="urn:microsoft.com/office/officeart/2005/8/layout/hierarchy2"/>
    <dgm:cxn modelId="{F98719CD-61E9-4AAC-8B1D-B6F45108574A}" type="presOf" srcId="{DB641A04-7763-4CB7-A7A2-4CA7CEA491DC}" destId="{D89ECFF0-5CDD-4063-9242-F68C26C0C0A2}" srcOrd="0" destOrd="0" presId="urn:microsoft.com/office/officeart/2005/8/layout/hierarchy2"/>
    <dgm:cxn modelId="{A7643DD3-5307-4BED-876F-956D38824648}" type="presOf" srcId="{D442BBD4-BA36-4166-BF88-871262FE1826}" destId="{D7DE3AC6-B2EF-4CEF-966F-3EEBD450DE00}" srcOrd="0" destOrd="0" presId="urn:microsoft.com/office/officeart/2005/8/layout/hierarchy2"/>
    <dgm:cxn modelId="{5B8CC4D4-DAAD-4C33-BA75-346D68717CF6}" type="presOf" srcId="{D6038AA4-D64C-45E3-BDE9-22976A21DC42}" destId="{716FBC9A-4D15-4F43-97B3-B14EC33DD2A6}" srcOrd="1" destOrd="0" presId="urn:microsoft.com/office/officeart/2005/8/layout/hierarchy2"/>
    <dgm:cxn modelId="{7D018BDF-25EC-4A2F-B942-6FDEAE5460CC}" type="presOf" srcId="{A1C217A4-D7A8-425B-8806-5FF241B7E945}" destId="{5510A647-9EE6-46E8-8BF8-43A967E1AE6C}" srcOrd="0" destOrd="0" presId="urn:microsoft.com/office/officeart/2005/8/layout/hierarchy2"/>
    <dgm:cxn modelId="{828D0EE6-EEEA-44A7-8CE5-8706CF2337DF}" srcId="{3DD7D010-5420-47F9-8F83-8148B963027F}" destId="{D9E2B729-A8EE-432A-BCC9-06B8C0E8A5F8}" srcOrd="1" destOrd="0" parTransId="{D6038AA4-D64C-45E3-BDE9-22976A21DC42}" sibTransId="{F5C67003-7856-4BE7-B41B-350B41CF0141}"/>
    <dgm:cxn modelId="{D1EDE3EB-1938-4698-B617-C3483267E08E}" type="presOf" srcId="{908D2357-3687-48D2-822F-5E4003EB6DF6}" destId="{0513EE5A-0608-44BC-8AA9-0F9029557C78}" srcOrd="1" destOrd="0" presId="urn:microsoft.com/office/officeart/2005/8/layout/hierarchy2"/>
    <dgm:cxn modelId="{01A034F2-FB35-49C5-B4FD-44A373BA94BB}" type="presOf" srcId="{D9E2B729-A8EE-432A-BCC9-06B8C0E8A5F8}" destId="{1DE74683-B2FE-463A-A0BC-655C81032D86}" srcOrd="0" destOrd="0" presId="urn:microsoft.com/office/officeart/2005/8/layout/hierarchy2"/>
    <dgm:cxn modelId="{FB6256F2-138D-49BD-96E1-10F52D2E014B}" type="presOf" srcId="{EB4221C4-EB7E-4AC8-8226-96EB8E388EF9}" destId="{5F5997B0-1C0C-4EBA-AFAC-9A95DEF4CAA0}" srcOrd="0" destOrd="0" presId="urn:microsoft.com/office/officeart/2005/8/layout/hierarchy2"/>
    <dgm:cxn modelId="{23739EFB-AE72-4DBD-AE0F-7FD29E029EDB}" type="presOf" srcId="{48418E0D-FDF8-40AA-973D-5A32EF0F5BF4}" destId="{7E30CB47-7913-4D43-887C-8F06C8B06D5A}" srcOrd="1" destOrd="0" presId="urn:microsoft.com/office/officeart/2005/8/layout/hierarchy2"/>
    <dgm:cxn modelId="{262C39F6-7195-4C59-8023-5127873766AA}" type="presParOf" srcId="{0CC552BA-7EF4-4AB6-A16A-3D2743B707F7}" destId="{A921CB94-8CD6-44AF-88C6-2C007E05F650}" srcOrd="0" destOrd="0" presId="urn:microsoft.com/office/officeart/2005/8/layout/hierarchy2"/>
    <dgm:cxn modelId="{26910E5B-3E44-40EB-A220-E70B26313E28}" type="presParOf" srcId="{A921CB94-8CD6-44AF-88C6-2C007E05F650}" destId="{7B3F88B5-2670-4739-A8F7-D16A655676C5}" srcOrd="0" destOrd="0" presId="urn:microsoft.com/office/officeart/2005/8/layout/hierarchy2"/>
    <dgm:cxn modelId="{380848D3-C7B5-4A63-B8CB-175EF465B997}" type="presParOf" srcId="{A921CB94-8CD6-44AF-88C6-2C007E05F650}" destId="{3E112F53-6602-4DBA-B904-0547D3FFD9FA}" srcOrd="1" destOrd="0" presId="urn:microsoft.com/office/officeart/2005/8/layout/hierarchy2"/>
    <dgm:cxn modelId="{C972A75C-12A1-4BEA-B7C3-67FACB0AE8A7}" type="presParOf" srcId="{3E112F53-6602-4DBA-B904-0547D3FFD9FA}" destId="{5510A647-9EE6-46E8-8BF8-43A967E1AE6C}" srcOrd="0" destOrd="0" presId="urn:microsoft.com/office/officeart/2005/8/layout/hierarchy2"/>
    <dgm:cxn modelId="{FFE38614-F763-4CB9-BC3C-7DE21D0F4430}" type="presParOf" srcId="{5510A647-9EE6-46E8-8BF8-43A967E1AE6C}" destId="{B3894EC8-FFD4-48AC-AB19-1BE0BD8AB73E}" srcOrd="0" destOrd="0" presId="urn:microsoft.com/office/officeart/2005/8/layout/hierarchy2"/>
    <dgm:cxn modelId="{66E18683-D36A-4F46-81F7-86F77BE27B79}" type="presParOf" srcId="{3E112F53-6602-4DBA-B904-0547D3FFD9FA}" destId="{84CDF6B3-B679-4116-AD89-DC86853B4428}" srcOrd="1" destOrd="0" presId="urn:microsoft.com/office/officeart/2005/8/layout/hierarchy2"/>
    <dgm:cxn modelId="{27F8D090-74E9-4F7E-AC6C-E7925609F530}" type="presParOf" srcId="{84CDF6B3-B679-4116-AD89-DC86853B4428}" destId="{266CC2AC-60AA-46B9-BB08-1A90C0070593}" srcOrd="0" destOrd="0" presId="urn:microsoft.com/office/officeart/2005/8/layout/hierarchy2"/>
    <dgm:cxn modelId="{0E3DBA64-691D-4C82-951C-D92A5A9B06B6}" type="presParOf" srcId="{84CDF6B3-B679-4116-AD89-DC86853B4428}" destId="{C6349D12-B7B4-4095-8192-C6A51B1AD8FB}" srcOrd="1" destOrd="0" presId="urn:microsoft.com/office/officeart/2005/8/layout/hierarchy2"/>
    <dgm:cxn modelId="{B05185D1-6122-4806-9A6E-4B3D0D92C86A}" type="presParOf" srcId="{C6349D12-B7B4-4095-8192-C6A51B1AD8FB}" destId="{D89ECFF0-5CDD-4063-9242-F68C26C0C0A2}" srcOrd="0" destOrd="0" presId="urn:microsoft.com/office/officeart/2005/8/layout/hierarchy2"/>
    <dgm:cxn modelId="{809D48FB-9E35-4234-A71C-80FA9478F8E6}" type="presParOf" srcId="{D89ECFF0-5CDD-4063-9242-F68C26C0C0A2}" destId="{67B42E6E-2C95-4664-9A97-E1C386883AB9}" srcOrd="0" destOrd="0" presId="urn:microsoft.com/office/officeart/2005/8/layout/hierarchy2"/>
    <dgm:cxn modelId="{64F2E7B9-D1AE-4E26-B9DC-5D7DBBF28B0E}" type="presParOf" srcId="{C6349D12-B7B4-4095-8192-C6A51B1AD8FB}" destId="{5DDEC4CC-60EB-4216-9669-B0D20BB67D8D}" srcOrd="1" destOrd="0" presId="urn:microsoft.com/office/officeart/2005/8/layout/hierarchy2"/>
    <dgm:cxn modelId="{38F0A62E-41D7-4F5D-85D9-EF6DCD634EF7}" type="presParOf" srcId="{5DDEC4CC-60EB-4216-9669-B0D20BB67D8D}" destId="{89B986EA-5B0A-4A7E-9489-54C30CF00770}" srcOrd="0" destOrd="0" presId="urn:microsoft.com/office/officeart/2005/8/layout/hierarchy2"/>
    <dgm:cxn modelId="{2D20C8DC-760B-4DBB-A49C-0AE59207AE31}" type="presParOf" srcId="{5DDEC4CC-60EB-4216-9669-B0D20BB67D8D}" destId="{FE4E02BF-CE64-4FAE-AAC8-8CF750B4A951}" srcOrd="1" destOrd="0" presId="urn:microsoft.com/office/officeart/2005/8/layout/hierarchy2"/>
    <dgm:cxn modelId="{C0120D24-85B9-4C41-B590-71C3654F443C}" type="presParOf" srcId="{C6349D12-B7B4-4095-8192-C6A51B1AD8FB}" destId="{A481D2BB-D13F-4A40-8294-EDA715C10EA1}" srcOrd="2" destOrd="0" presId="urn:microsoft.com/office/officeart/2005/8/layout/hierarchy2"/>
    <dgm:cxn modelId="{E3318FDB-9B62-4AD2-8570-88EC3C205E4A}" type="presParOf" srcId="{A481D2BB-D13F-4A40-8294-EDA715C10EA1}" destId="{7E30CB47-7913-4D43-887C-8F06C8B06D5A}" srcOrd="0" destOrd="0" presId="urn:microsoft.com/office/officeart/2005/8/layout/hierarchy2"/>
    <dgm:cxn modelId="{87BBE169-A7BB-4229-8EC8-33C258103BB4}" type="presParOf" srcId="{C6349D12-B7B4-4095-8192-C6A51B1AD8FB}" destId="{73A01330-631C-4E52-8FF3-C96CDD31E17A}" srcOrd="3" destOrd="0" presId="urn:microsoft.com/office/officeart/2005/8/layout/hierarchy2"/>
    <dgm:cxn modelId="{CF149D18-51B2-4483-8A7E-9AB1BBD843C7}" type="presParOf" srcId="{73A01330-631C-4E52-8FF3-C96CDD31E17A}" destId="{867E89E4-22AC-4DEA-805D-E9EE85F29D59}" srcOrd="0" destOrd="0" presId="urn:microsoft.com/office/officeart/2005/8/layout/hierarchy2"/>
    <dgm:cxn modelId="{5CF80A68-AE3A-4498-87EB-DED933205F6E}" type="presParOf" srcId="{73A01330-631C-4E52-8FF3-C96CDD31E17A}" destId="{EA22A2D0-3B96-48E7-A9D9-665A0BEBC5D6}" srcOrd="1" destOrd="0" presId="urn:microsoft.com/office/officeart/2005/8/layout/hierarchy2"/>
    <dgm:cxn modelId="{0156CE75-445A-44B5-8256-D48A8929106F}" type="presParOf" srcId="{3E112F53-6602-4DBA-B904-0547D3FFD9FA}" destId="{F3B7E211-9D7D-449B-A4A5-1D3CB3922794}" srcOrd="2" destOrd="0" presId="urn:microsoft.com/office/officeart/2005/8/layout/hierarchy2"/>
    <dgm:cxn modelId="{8CD2E010-32DC-439A-8393-A631470CF60D}" type="presParOf" srcId="{F3B7E211-9D7D-449B-A4A5-1D3CB3922794}" destId="{716FBC9A-4D15-4F43-97B3-B14EC33DD2A6}" srcOrd="0" destOrd="0" presId="urn:microsoft.com/office/officeart/2005/8/layout/hierarchy2"/>
    <dgm:cxn modelId="{4CF8C8C6-0167-4CD8-8AE5-5BEDEFE9895F}" type="presParOf" srcId="{3E112F53-6602-4DBA-B904-0547D3FFD9FA}" destId="{996D6A58-9818-473B-B349-8A687179930D}" srcOrd="3" destOrd="0" presId="urn:microsoft.com/office/officeart/2005/8/layout/hierarchy2"/>
    <dgm:cxn modelId="{6BB8F94E-225D-448D-87E6-46CDE64AFC03}" type="presParOf" srcId="{996D6A58-9818-473B-B349-8A687179930D}" destId="{1DE74683-B2FE-463A-A0BC-655C81032D86}" srcOrd="0" destOrd="0" presId="urn:microsoft.com/office/officeart/2005/8/layout/hierarchy2"/>
    <dgm:cxn modelId="{B198C66E-C4B9-4FDB-BFE2-22DFD8002B7E}" type="presParOf" srcId="{996D6A58-9818-473B-B349-8A687179930D}" destId="{88032E7C-60BF-4080-910A-A4C3DC419153}" srcOrd="1" destOrd="0" presId="urn:microsoft.com/office/officeart/2005/8/layout/hierarchy2"/>
    <dgm:cxn modelId="{59EDF515-5540-452C-8D65-97B666981CB2}" type="presParOf" srcId="{88032E7C-60BF-4080-910A-A4C3DC419153}" destId="{F6312109-267C-47EF-A581-F04D8377585E}" srcOrd="0" destOrd="0" presId="urn:microsoft.com/office/officeart/2005/8/layout/hierarchy2"/>
    <dgm:cxn modelId="{2259E6F9-FA68-4395-9E21-72567506A52C}" type="presParOf" srcId="{F6312109-267C-47EF-A581-F04D8377585E}" destId="{0513EE5A-0608-44BC-8AA9-0F9029557C78}" srcOrd="0" destOrd="0" presId="urn:microsoft.com/office/officeart/2005/8/layout/hierarchy2"/>
    <dgm:cxn modelId="{130B0DD8-A4D8-4DEE-9A44-C52BAAC0C010}" type="presParOf" srcId="{88032E7C-60BF-4080-910A-A4C3DC419153}" destId="{F11913D7-9883-4BCE-8C23-E9343ECFEFA0}" srcOrd="1" destOrd="0" presId="urn:microsoft.com/office/officeart/2005/8/layout/hierarchy2"/>
    <dgm:cxn modelId="{14ECE5DF-AD5A-4E17-A9BB-C3314B8DC54B}" type="presParOf" srcId="{F11913D7-9883-4BCE-8C23-E9343ECFEFA0}" destId="{4306BD32-AB47-440D-8690-8665DCE5A6CD}" srcOrd="0" destOrd="0" presId="urn:microsoft.com/office/officeart/2005/8/layout/hierarchy2"/>
    <dgm:cxn modelId="{A04DEB17-29F2-4874-945C-8EDEF52F35C6}" type="presParOf" srcId="{F11913D7-9883-4BCE-8C23-E9343ECFEFA0}" destId="{0E11D572-B6B7-4A6F-9D6B-22BD40D0F87A}" srcOrd="1" destOrd="0" presId="urn:microsoft.com/office/officeart/2005/8/layout/hierarchy2"/>
    <dgm:cxn modelId="{0858B0BF-8CBB-429A-8995-3A76AD91712B}" type="presParOf" srcId="{88032E7C-60BF-4080-910A-A4C3DC419153}" destId="{F18D6346-7A7C-484B-A300-37AA8101BE24}" srcOrd="2" destOrd="0" presId="urn:microsoft.com/office/officeart/2005/8/layout/hierarchy2"/>
    <dgm:cxn modelId="{FC76AD51-BCD4-48FF-8652-ED6F5F00B660}" type="presParOf" srcId="{F18D6346-7A7C-484B-A300-37AA8101BE24}" destId="{79E6A5C2-4FDE-48B8-807F-1BEBC387BD44}" srcOrd="0" destOrd="0" presId="urn:microsoft.com/office/officeart/2005/8/layout/hierarchy2"/>
    <dgm:cxn modelId="{D0A46913-EE79-47EE-9935-E7E6111E6D82}" type="presParOf" srcId="{88032E7C-60BF-4080-910A-A4C3DC419153}" destId="{E6149A24-0278-4A87-AE93-B108B7F6ED8C}" srcOrd="3" destOrd="0" presId="urn:microsoft.com/office/officeart/2005/8/layout/hierarchy2"/>
    <dgm:cxn modelId="{1B96E117-F21D-41B2-8852-910385396048}" type="presParOf" srcId="{E6149A24-0278-4A87-AE93-B108B7F6ED8C}" destId="{5AF42B1F-9883-45D5-A669-B1B6BD3B9205}" srcOrd="0" destOrd="0" presId="urn:microsoft.com/office/officeart/2005/8/layout/hierarchy2"/>
    <dgm:cxn modelId="{7E875C45-8882-4781-859C-E9100256408D}" type="presParOf" srcId="{E6149A24-0278-4A87-AE93-B108B7F6ED8C}" destId="{078D9090-318A-4B14-9345-848DF5606305}" srcOrd="1" destOrd="0" presId="urn:microsoft.com/office/officeart/2005/8/layout/hierarchy2"/>
    <dgm:cxn modelId="{EFC269FD-30AA-4C6C-A388-A09E08AAE328}" type="presParOf" srcId="{078D9090-318A-4B14-9345-848DF5606305}" destId="{D7DE3AC6-B2EF-4CEF-966F-3EEBD450DE00}" srcOrd="0" destOrd="0" presId="urn:microsoft.com/office/officeart/2005/8/layout/hierarchy2"/>
    <dgm:cxn modelId="{6BEFCC3B-C757-4771-820B-E9812C97381E}" type="presParOf" srcId="{D7DE3AC6-B2EF-4CEF-966F-3EEBD450DE00}" destId="{13BC4886-CD65-4EDC-B84A-38F081786528}" srcOrd="0" destOrd="0" presId="urn:microsoft.com/office/officeart/2005/8/layout/hierarchy2"/>
    <dgm:cxn modelId="{318DCA9E-65E9-4BB6-BB9E-D8497E9C62F2}" type="presParOf" srcId="{078D9090-318A-4B14-9345-848DF5606305}" destId="{6D52AFB1-67A8-4D6C-9105-73FF02E46358}" srcOrd="1" destOrd="0" presId="urn:microsoft.com/office/officeart/2005/8/layout/hierarchy2"/>
    <dgm:cxn modelId="{3BABF7BA-259A-4FA9-A568-4C375C4C12DA}" type="presParOf" srcId="{6D52AFB1-67A8-4D6C-9105-73FF02E46358}" destId="{E75BD03C-6DF0-4ED8-B21A-326EBE3023DB}" srcOrd="0" destOrd="0" presId="urn:microsoft.com/office/officeart/2005/8/layout/hierarchy2"/>
    <dgm:cxn modelId="{585BDC5F-BDDC-479C-A22F-9391D41E889C}" type="presParOf" srcId="{6D52AFB1-67A8-4D6C-9105-73FF02E46358}" destId="{BB7E2817-A0F9-47A2-A2D9-48D1A017DE32}" srcOrd="1" destOrd="0" presId="urn:microsoft.com/office/officeart/2005/8/layout/hierarchy2"/>
    <dgm:cxn modelId="{E62855CD-E9DE-41A4-963D-201A17901370}" type="presParOf" srcId="{078D9090-318A-4B14-9345-848DF5606305}" destId="{5F5997B0-1C0C-4EBA-AFAC-9A95DEF4CAA0}" srcOrd="2" destOrd="0" presId="urn:microsoft.com/office/officeart/2005/8/layout/hierarchy2"/>
    <dgm:cxn modelId="{05BE46ED-B92C-42D7-90B8-5F56529D4143}" type="presParOf" srcId="{5F5997B0-1C0C-4EBA-AFAC-9A95DEF4CAA0}" destId="{7DD4D5B1-6089-49DE-B745-1F90A947D0B7}" srcOrd="0" destOrd="0" presId="urn:microsoft.com/office/officeart/2005/8/layout/hierarchy2"/>
    <dgm:cxn modelId="{A402C3D6-4DB5-4680-9089-14CBE20F569C}" type="presParOf" srcId="{078D9090-318A-4B14-9345-848DF5606305}" destId="{ABCA62A2-6056-4E0C-A329-3B9368FB4A25}" srcOrd="3" destOrd="0" presId="urn:microsoft.com/office/officeart/2005/8/layout/hierarchy2"/>
    <dgm:cxn modelId="{925A2B80-C1E6-4265-B656-D136DC28C02D}" type="presParOf" srcId="{ABCA62A2-6056-4E0C-A329-3B9368FB4A25}" destId="{08CD5553-2950-4D5C-9E62-FCF5B07A4AC4}" srcOrd="0" destOrd="0" presId="urn:microsoft.com/office/officeart/2005/8/layout/hierarchy2"/>
    <dgm:cxn modelId="{BDDCFFC6-D3B5-479C-BDD6-06AFA7BD58E5}" type="presParOf" srcId="{ABCA62A2-6056-4E0C-A329-3B9368FB4A25}" destId="{5A125B7D-E9D5-4A7C-94F5-FDB36A2E5602}" srcOrd="1" destOrd="0" presId="urn:microsoft.com/office/officeart/2005/8/layout/hierarchy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3F88B5-2670-4739-A8F7-D16A655676C5}">
      <dsp:nvSpPr>
        <dsp:cNvPr id="0" name=""/>
        <dsp:cNvSpPr/>
      </dsp:nvSpPr>
      <dsp:spPr>
        <a:xfrm>
          <a:off x="669" y="1184864"/>
          <a:ext cx="1054819" cy="52740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i="0" u="none" strike="noStrike" kern="1200" cap="none" dirty="0">
              <a:latin typeface="Arial"/>
              <a:ea typeface="Arial"/>
              <a:cs typeface="Arial"/>
              <a:sym typeface="Arial"/>
            </a:rPr>
            <a:t>SBSP Policy Mechanisms</a:t>
          </a:r>
          <a:endParaRPr lang="en-US" sz="600" kern="1200"/>
        </a:p>
      </dsp:txBody>
      <dsp:txXfrm>
        <a:off x="16116" y="1200311"/>
        <a:ext cx="1023925" cy="496515"/>
      </dsp:txXfrm>
    </dsp:sp>
    <dsp:sp modelId="{5510A647-9EE6-46E8-8BF8-43A967E1AE6C}">
      <dsp:nvSpPr>
        <dsp:cNvPr id="0" name=""/>
        <dsp:cNvSpPr/>
      </dsp:nvSpPr>
      <dsp:spPr>
        <a:xfrm rot="18289469">
          <a:off x="897030" y="1130477"/>
          <a:ext cx="738844" cy="29663"/>
        </a:xfrm>
        <a:custGeom>
          <a:avLst/>
          <a:gdLst/>
          <a:ahLst/>
          <a:cxnLst/>
          <a:rect l="0" t="0" r="0" b="0"/>
          <a:pathLst>
            <a:path>
              <a:moveTo>
                <a:pt x="0" y="14831"/>
              </a:moveTo>
              <a:lnTo>
                <a:pt x="738844" y="1483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47981" y="1126838"/>
        <a:ext cx="36942" cy="36942"/>
      </dsp:txXfrm>
    </dsp:sp>
    <dsp:sp modelId="{266CC2AC-60AA-46B9-BB08-1A90C0070593}">
      <dsp:nvSpPr>
        <dsp:cNvPr id="0" name=""/>
        <dsp:cNvSpPr/>
      </dsp:nvSpPr>
      <dsp:spPr>
        <a:xfrm>
          <a:off x="1477416" y="578343"/>
          <a:ext cx="1054819" cy="52740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Clr>
              <a:schemeClr val="lt2"/>
            </a:buClr>
            <a:buSzPts val="1800"/>
            <a:buFont typeface="Arial"/>
            <a:buNone/>
          </a:pPr>
          <a:r>
            <a:rPr lang="en-US" sz="600" b="1" kern="1200" dirty="0">
              <a:latin typeface="Arial"/>
              <a:ea typeface="Arial"/>
              <a:cs typeface="Arial"/>
              <a:sym typeface="Arial"/>
            </a:rPr>
            <a:t>International</a:t>
          </a:r>
          <a:endParaRPr lang="en-US" sz="600" kern="1200"/>
        </a:p>
      </dsp:txBody>
      <dsp:txXfrm>
        <a:off x="1492863" y="593790"/>
        <a:ext cx="1023925" cy="496515"/>
      </dsp:txXfrm>
    </dsp:sp>
    <dsp:sp modelId="{D89ECFF0-5CDD-4063-9242-F68C26C0C0A2}">
      <dsp:nvSpPr>
        <dsp:cNvPr id="0" name=""/>
        <dsp:cNvSpPr/>
      </dsp:nvSpPr>
      <dsp:spPr>
        <a:xfrm rot="18733967">
          <a:off x="2446368" y="633296"/>
          <a:ext cx="523812" cy="29663"/>
        </a:xfrm>
        <a:custGeom>
          <a:avLst/>
          <a:gdLst/>
          <a:ahLst/>
          <a:cxnLst/>
          <a:rect l="0" t="0" r="0" b="0"/>
          <a:pathLst>
            <a:path>
              <a:moveTo>
                <a:pt x="0" y="14831"/>
              </a:moveTo>
              <a:lnTo>
                <a:pt x="523812" y="1483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95179" y="635032"/>
        <a:ext cx="26190" cy="26190"/>
      </dsp:txXfrm>
    </dsp:sp>
    <dsp:sp modelId="{89B986EA-5B0A-4A7E-9489-54C30CF00770}">
      <dsp:nvSpPr>
        <dsp:cNvPr id="0" name=""/>
        <dsp:cNvSpPr/>
      </dsp:nvSpPr>
      <dsp:spPr>
        <a:xfrm>
          <a:off x="2884313" y="190502"/>
          <a:ext cx="1054819" cy="52740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Clr>
              <a:schemeClr val="lt2"/>
            </a:buClr>
            <a:buSzPts val="1400"/>
            <a:buFont typeface="Arial"/>
            <a:buNone/>
          </a:pPr>
          <a:r>
            <a:rPr lang="en-US" sz="600" b="1" kern="1200" dirty="0">
              <a:latin typeface="Arial"/>
              <a:ea typeface="Arial"/>
              <a:cs typeface="Arial"/>
              <a:sym typeface="Arial"/>
            </a:rPr>
            <a:t>Administrative Mechanisms</a:t>
          </a:r>
          <a:endParaRPr lang="en-US" sz="600" kern="1200" dirty="0"/>
        </a:p>
        <a:p>
          <a:pPr marL="0" lvl="0" indent="0" algn="ctr" defTabSz="266700">
            <a:lnSpc>
              <a:spcPct val="90000"/>
            </a:lnSpc>
            <a:spcBef>
              <a:spcPct val="0"/>
            </a:spcBef>
            <a:spcAft>
              <a:spcPct val="35000"/>
            </a:spcAft>
            <a:buClr>
              <a:schemeClr val="lt2"/>
            </a:buClr>
            <a:buSzPts val="1400"/>
            <a:buFont typeface="Arial"/>
            <a:buNone/>
          </a:pPr>
          <a:r>
            <a:rPr lang="en-US" sz="600" kern="1200" dirty="0">
              <a:latin typeface="Arial"/>
              <a:ea typeface="Arial"/>
              <a:cs typeface="Arial"/>
              <a:sym typeface="Arial"/>
            </a:rPr>
            <a:t>Treaties, Customary International Laws, Agreements, </a:t>
          </a:r>
          <a:r>
            <a:rPr lang="en-US" sz="600" kern="1200" dirty="0">
              <a:latin typeface="Arial"/>
              <a:cs typeface="Arial"/>
              <a:sym typeface="Arial"/>
            </a:rPr>
            <a:t>Standards, </a:t>
          </a:r>
        </a:p>
        <a:p>
          <a:pPr marL="0" lvl="0" indent="0" algn="ctr" defTabSz="266700">
            <a:lnSpc>
              <a:spcPct val="90000"/>
            </a:lnSpc>
            <a:spcBef>
              <a:spcPct val="0"/>
            </a:spcBef>
            <a:spcAft>
              <a:spcPct val="35000"/>
            </a:spcAft>
            <a:buClr>
              <a:schemeClr val="lt2"/>
            </a:buClr>
            <a:buSzPts val="1400"/>
            <a:buFont typeface="Arial"/>
            <a:buNone/>
          </a:pPr>
          <a:r>
            <a:rPr lang="en-US" sz="600" kern="1200" dirty="0">
              <a:latin typeface="Arial"/>
              <a:ea typeface="Arial"/>
              <a:cs typeface="Arial"/>
              <a:sym typeface="Arial"/>
            </a:rPr>
            <a:t>etc.</a:t>
          </a:r>
          <a:endParaRPr lang="en-US" sz="600" kern="1200"/>
        </a:p>
      </dsp:txBody>
      <dsp:txXfrm>
        <a:off x="2899760" y="205949"/>
        <a:ext cx="1023925" cy="496515"/>
      </dsp:txXfrm>
    </dsp:sp>
    <dsp:sp modelId="{A481D2BB-D13F-4A40-8294-EDA715C10EA1}">
      <dsp:nvSpPr>
        <dsp:cNvPr id="0" name=""/>
        <dsp:cNvSpPr/>
      </dsp:nvSpPr>
      <dsp:spPr>
        <a:xfrm rot="2081213">
          <a:off x="2492814" y="953447"/>
          <a:ext cx="443620" cy="29663"/>
        </a:xfrm>
        <a:custGeom>
          <a:avLst/>
          <a:gdLst/>
          <a:ahLst/>
          <a:cxnLst/>
          <a:rect l="0" t="0" r="0" b="0"/>
          <a:pathLst>
            <a:path>
              <a:moveTo>
                <a:pt x="0" y="14831"/>
              </a:moveTo>
              <a:lnTo>
                <a:pt x="443620" y="1483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703534" y="957188"/>
        <a:ext cx="22181" cy="22181"/>
      </dsp:txXfrm>
    </dsp:sp>
    <dsp:sp modelId="{867E89E4-22AC-4DEA-805D-E9EE85F29D59}">
      <dsp:nvSpPr>
        <dsp:cNvPr id="0" name=""/>
        <dsp:cNvSpPr/>
      </dsp:nvSpPr>
      <dsp:spPr>
        <a:xfrm>
          <a:off x="2897013" y="830804"/>
          <a:ext cx="1054819" cy="52740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i="0" u="none" strike="noStrike" kern="1200" cap="none" dirty="0">
              <a:latin typeface="Arial"/>
              <a:ea typeface="Arial"/>
              <a:cs typeface="Arial"/>
              <a:sym typeface="Arial"/>
            </a:rPr>
            <a:t>Incentive Mechanisms</a:t>
          </a:r>
        </a:p>
        <a:p>
          <a:pPr marL="0" lvl="0" indent="0" algn="ctr" defTabSz="266700">
            <a:lnSpc>
              <a:spcPct val="90000"/>
            </a:lnSpc>
            <a:spcBef>
              <a:spcPct val="0"/>
            </a:spcBef>
            <a:spcAft>
              <a:spcPct val="35000"/>
            </a:spcAft>
            <a:buNone/>
          </a:pPr>
          <a:r>
            <a:rPr lang="en-US" sz="600" b="0" i="0" u="none" strike="noStrike" kern="1200" cap="none" dirty="0">
              <a:latin typeface="Arial"/>
              <a:cs typeface="Arial"/>
              <a:sym typeface="Arial"/>
            </a:rPr>
            <a:t>Finance, Support, Coordination, etc.</a:t>
          </a:r>
          <a:endParaRPr lang="en-US" sz="600" b="0" kern="1200"/>
        </a:p>
      </dsp:txBody>
      <dsp:txXfrm>
        <a:off x="2912460" y="846251"/>
        <a:ext cx="1023925" cy="496515"/>
      </dsp:txXfrm>
    </dsp:sp>
    <dsp:sp modelId="{F3B7E211-9D7D-449B-A4A5-1D3CB3922794}">
      <dsp:nvSpPr>
        <dsp:cNvPr id="0" name=""/>
        <dsp:cNvSpPr/>
      </dsp:nvSpPr>
      <dsp:spPr>
        <a:xfrm rot="3643375">
          <a:off x="835063" y="1810023"/>
          <a:ext cx="862778" cy="29663"/>
        </a:xfrm>
        <a:custGeom>
          <a:avLst/>
          <a:gdLst/>
          <a:ahLst/>
          <a:cxnLst/>
          <a:rect l="0" t="0" r="0" b="0"/>
          <a:pathLst>
            <a:path>
              <a:moveTo>
                <a:pt x="0" y="14831"/>
              </a:moveTo>
              <a:lnTo>
                <a:pt x="862778" y="1483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44883" y="1803285"/>
        <a:ext cx="43138" cy="43138"/>
      </dsp:txXfrm>
    </dsp:sp>
    <dsp:sp modelId="{1DE74683-B2FE-463A-A0BC-655C81032D86}">
      <dsp:nvSpPr>
        <dsp:cNvPr id="0" name=""/>
        <dsp:cNvSpPr/>
      </dsp:nvSpPr>
      <dsp:spPr>
        <a:xfrm>
          <a:off x="1477416" y="1937436"/>
          <a:ext cx="1054819" cy="52740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Clr>
              <a:schemeClr val="lt2"/>
            </a:buClr>
            <a:buSzPts val="1800"/>
            <a:buFont typeface="Arial"/>
            <a:buNone/>
          </a:pPr>
          <a:r>
            <a:rPr lang="en-US" sz="600" b="1" kern="1200" dirty="0">
              <a:latin typeface="Arial"/>
              <a:ea typeface="Arial"/>
              <a:cs typeface="Arial"/>
              <a:sym typeface="Arial"/>
            </a:rPr>
            <a:t>National</a:t>
          </a:r>
          <a:endParaRPr lang="en-US" sz="600" kern="1200"/>
        </a:p>
      </dsp:txBody>
      <dsp:txXfrm>
        <a:off x="1492863" y="1952883"/>
        <a:ext cx="1023925" cy="496515"/>
      </dsp:txXfrm>
    </dsp:sp>
    <dsp:sp modelId="{F6312109-267C-47EF-A581-F04D8377585E}">
      <dsp:nvSpPr>
        <dsp:cNvPr id="0" name=""/>
        <dsp:cNvSpPr/>
      </dsp:nvSpPr>
      <dsp:spPr>
        <a:xfrm rot="18890994">
          <a:off x="2453355" y="1996579"/>
          <a:ext cx="535238" cy="29663"/>
        </a:xfrm>
        <a:custGeom>
          <a:avLst/>
          <a:gdLst/>
          <a:ahLst/>
          <a:cxnLst/>
          <a:rect l="0" t="0" r="0" b="0"/>
          <a:pathLst>
            <a:path>
              <a:moveTo>
                <a:pt x="0" y="14831"/>
              </a:moveTo>
              <a:lnTo>
                <a:pt x="535238" y="1483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707594" y="1998029"/>
        <a:ext cx="26761" cy="26761"/>
      </dsp:txXfrm>
    </dsp:sp>
    <dsp:sp modelId="{4306BD32-AB47-440D-8690-8665DCE5A6CD}">
      <dsp:nvSpPr>
        <dsp:cNvPr id="0" name=""/>
        <dsp:cNvSpPr/>
      </dsp:nvSpPr>
      <dsp:spPr>
        <a:xfrm>
          <a:off x="2909713" y="1557975"/>
          <a:ext cx="1054819" cy="52740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Clr>
              <a:schemeClr val="lt2"/>
            </a:buClr>
            <a:buSzPts val="1500"/>
            <a:buFont typeface="Arial"/>
            <a:buNone/>
          </a:pPr>
          <a:r>
            <a:rPr lang="en-US" sz="600" b="1" i="0" u="none" strike="noStrike" kern="1200" cap="none" dirty="0">
              <a:latin typeface="Arial"/>
              <a:ea typeface="Arial"/>
              <a:cs typeface="Arial"/>
              <a:sym typeface="Arial"/>
            </a:rPr>
            <a:t>Administrative </a:t>
          </a:r>
          <a:r>
            <a:rPr lang="en-US" sz="600" b="1" kern="1200" dirty="0">
              <a:latin typeface="Arial"/>
              <a:ea typeface="Arial"/>
              <a:cs typeface="Arial"/>
              <a:sym typeface="Arial"/>
            </a:rPr>
            <a:t>Mechanisms</a:t>
          </a:r>
          <a:endParaRPr lang="en-US" sz="600" kern="1200" dirty="0"/>
        </a:p>
        <a:p>
          <a:pPr marL="0" lvl="0" indent="0" algn="ctr" defTabSz="266700">
            <a:lnSpc>
              <a:spcPct val="90000"/>
            </a:lnSpc>
            <a:spcBef>
              <a:spcPct val="0"/>
            </a:spcBef>
            <a:spcAft>
              <a:spcPct val="35000"/>
            </a:spcAft>
            <a:buClr>
              <a:schemeClr val="lt2"/>
            </a:buClr>
            <a:buSzPts val="1500"/>
            <a:buFont typeface="Arial"/>
            <a:buNone/>
          </a:pPr>
          <a:r>
            <a:rPr lang="en-US" sz="600" b="0" i="0" u="none" strike="noStrike" kern="1200" cap="none" dirty="0">
              <a:latin typeface="Arial"/>
              <a:ea typeface="Arial"/>
              <a:cs typeface="Arial"/>
              <a:sym typeface="Arial"/>
            </a:rPr>
            <a:t>Standards, Targets, Permissions, Procedures, etc.</a:t>
          </a:r>
        </a:p>
      </dsp:txBody>
      <dsp:txXfrm>
        <a:off x="2925160" y="1573422"/>
        <a:ext cx="1023925" cy="496515"/>
      </dsp:txXfrm>
    </dsp:sp>
    <dsp:sp modelId="{F18D6346-7A7C-484B-A300-37AA8101BE24}">
      <dsp:nvSpPr>
        <dsp:cNvPr id="0" name=""/>
        <dsp:cNvSpPr/>
      </dsp:nvSpPr>
      <dsp:spPr>
        <a:xfrm rot="2051976">
          <a:off x="2491449" y="2318889"/>
          <a:ext cx="471750" cy="29663"/>
        </a:xfrm>
        <a:custGeom>
          <a:avLst/>
          <a:gdLst/>
          <a:ahLst/>
          <a:cxnLst/>
          <a:rect l="0" t="0" r="0" b="0"/>
          <a:pathLst>
            <a:path>
              <a:moveTo>
                <a:pt x="0" y="14831"/>
              </a:moveTo>
              <a:lnTo>
                <a:pt x="471750" y="1483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715531" y="2321927"/>
        <a:ext cx="23587" cy="23587"/>
      </dsp:txXfrm>
    </dsp:sp>
    <dsp:sp modelId="{5AF42B1F-9883-45D5-A669-B1B6BD3B9205}">
      <dsp:nvSpPr>
        <dsp:cNvPr id="0" name=""/>
        <dsp:cNvSpPr/>
      </dsp:nvSpPr>
      <dsp:spPr>
        <a:xfrm>
          <a:off x="2922413" y="2202596"/>
          <a:ext cx="1054819" cy="52740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i="0" u="none" strike="noStrike" kern="1200" cap="none" dirty="0">
              <a:latin typeface="Arial"/>
              <a:ea typeface="Arial"/>
              <a:cs typeface="Arial"/>
              <a:sym typeface="Arial"/>
            </a:rPr>
            <a:t>Incentive Mechanisms</a:t>
          </a:r>
          <a:endParaRPr lang="en-US" sz="600" b="1" kern="1200" dirty="0">
            <a:latin typeface="Arial"/>
            <a:ea typeface="Arial"/>
            <a:cs typeface="Arial"/>
            <a:sym typeface="Arial"/>
          </a:endParaRPr>
        </a:p>
      </dsp:txBody>
      <dsp:txXfrm>
        <a:off x="2937860" y="2218043"/>
        <a:ext cx="1023925" cy="496515"/>
      </dsp:txXfrm>
    </dsp:sp>
    <dsp:sp modelId="{D7DE3AC6-B2EF-4CEF-966F-3EEBD450DE00}">
      <dsp:nvSpPr>
        <dsp:cNvPr id="0" name=""/>
        <dsp:cNvSpPr/>
      </dsp:nvSpPr>
      <dsp:spPr>
        <a:xfrm rot="19188411">
          <a:off x="3915946" y="2283964"/>
          <a:ext cx="519101" cy="29663"/>
        </a:xfrm>
        <a:custGeom>
          <a:avLst/>
          <a:gdLst/>
          <a:ahLst/>
          <a:cxnLst/>
          <a:rect l="0" t="0" r="0" b="0"/>
          <a:pathLst>
            <a:path>
              <a:moveTo>
                <a:pt x="0" y="14831"/>
              </a:moveTo>
              <a:lnTo>
                <a:pt x="519101" y="1483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162519" y="2285818"/>
        <a:ext cx="25955" cy="25955"/>
      </dsp:txXfrm>
    </dsp:sp>
    <dsp:sp modelId="{E75BD03C-6DF0-4ED8-B21A-326EBE3023DB}">
      <dsp:nvSpPr>
        <dsp:cNvPr id="0" name=""/>
        <dsp:cNvSpPr/>
      </dsp:nvSpPr>
      <dsp:spPr>
        <a:xfrm>
          <a:off x="4373760" y="1867586"/>
          <a:ext cx="1054819" cy="52740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i="0" u="none" strike="noStrike" kern="1200" cap="none" dirty="0">
              <a:latin typeface="Arial"/>
              <a:ea typeface="Arial"/>
              <a:cs typeface="Arial"/>
              <a:sym typeface="Arial"/>
            </a:rPr>
            <a:t>Price Mechanisms</a:t>
          </a:r>
        </a:p>
        <a:p>
          <a:pPr marL="0" lvl="0" indent="0" algn="ctr" defTabSz="266700">
            <a:lnSpc>
              <a:spcPct val="90000"/>
            </a:lnSpc>
            <a:spcBef>
              <a:spcPct val="0"/>
            </a:spcBef>
            <a:spcAft>
              <a:spcPct val="35000"/>
            </a:spcAft>
            <a:buNone/>
          </a:pPr>
          <a:r>
            <a:rPr lang="en-US" sz="600" b="0" i="0" u="none" strike="noStrike" kern="1200" cap="none" dirty="0">
              <a:latin typeface="Arial"/>
              <a:ea typeface="Arial"/>
              <a:cs typeface="Arial"/>
              <a:sym typeface="Arial"/>
            </a:rPr>
            <a:t>Fees, Subsidies, Taxes, Refunds,Contracts, etc.</a:t>
          </a:r>
          <a:endParaRPr lang="en-US" sz="600" kern="1200" dirty="0"/>
        </a:p>
      </dsp:txBody>
      <dsp:txXfrm>
        <a:off x="4389207" y="1883033"/>
        <a:ext cx="1023925" cy="496515"/>
      </dsp:txXfrm>
    </dsp:sp>
    <dsp:sp modelId="{5F5997B0-1C0C-4EBA-AFAC-9A95DEF4CAA0}">
      <dsp:nvSpPr>
        <dsp:cNvPr id="0" name=""/>
        <dsp:cNvSpPr/>
      </dsp:nvSpPr>
      <dsp:spPr>
        <a:xfrm rot="2108043">
          <a:off x="3930234" y="2599925"/>
          <a:ext cx="515925" cy="29663"/>
        </a:xfrm>
        <a:custGeom>
          <a:avLst/>
          <a:gdLst/>
          <a:ahLst/>
          <a:cxnLst/>
          <a:rect l="0" t="0" r="0" b="0"/>
          <a:pathLst>
            <a:path>
              <a:moveTo>
                <a:pt x="0" y="14831"/>
              </a:moveTo>
              <a:lnTo>
                <a:pt x="515925" y="1483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175298" y="2601858"/>
        <a:ext cx="25796" cy="25796"/>
      </dsp:txXfrm>
    </dsp:sp>
    <dsp:sp modelId="{08CD5553-2950-4D5C-9E62-FCF5B07A4AC4}">
      <dsp:nvSpPr>
        <dsp:cNvPr id="0" name=""/>
        <dsp:cNvSpPr/>
      </dsp:nvSpPr>
      <dsp:spPr>
        <a:xfrm>
          <a:off x="4399160" y="2499507"/>
          <a:ext cx="1054819" cy="52740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i="0" u="none" strike="noStrike" kern="1200" cap="none" dirty="0">
              <a:latin typeface="Arial"/>
              <a:ea typeface="Arial"/>
              <a:cs typeface="Arial"/>
              <a:sym typeface="Arial"/>
            </a:rPr>
            <a:t>Market or Quantity Mechanisms</a:t>
          </a:r>
          <a:endParaRPr lang="en-US" sz="600" kern="1200" dirty="0"/>
        </a:p>
        <a:p>
          <a:pPr marL="0" lvl="0" indent="0" algn="ctr" defTabSz="266700">
            <a:lnSpc>
              <a:spcPct val="90000"/>
            </a:lnSpc>
            <a:spcBef>
              <a:spcPct val="0"/>
            </a:spcBef>
            <a:spcAft>
              <a:spcPct val="35000"/>
            </a:spcAft>
            <a:buClr>
              <a:schemeClr val="lt2"/>
            </a:buClr>
            <a:buSzPts val="1400"/>
            <a:buFont typeface="Arial"/>
            <a:buNone/>
          </a:pPr>
          <a:r>
            <a:rPr lang="en-US" sz="600" b="0" i="0" u="none" strike="noStrike" kern="1200" cap="none" dirty="0">
              <a:latin typeface="Arial"/>
              <a:ea typeface="Arial"/>
              <a:cs typeface="Arial"/>
              <a:sym typeface="Arial"/>
            </a:rPr>
            <a:t>Tradeable Permits, Quotas, Franchises, etc</a:t>
          </a:r>
          <a:r>
            <a:rPr lang="en-US" sz="600" b="1" i="0" u="none" strike="noStrike" kern="1200" cap="none" dirty="0">
              <a:latin typeface="Arial"/>
              <a:ea typeface="Arial"/>
              <a:cs typeface="Arial"/>
              <a:sym typeface="Arial"/>
            </a:rPr>
            <a:t>.</a:t>
          </a:r>
          <a:endParaRPr lang="en-US" sz="600" kern="1200" dirty="0"/>
        </a:p>
      </dsp:txBody>
      <dsp:txXfrm>
        <a:off x="4414607" y="2514954"/>
        <a:ext cx="1023925" cy="49651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526A5-A284-444B-9557-E72E21F01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19</Pages>
  <Words>11882</Words>
  <Characters>67732</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79456</CharactersWithSpaces>
  <SharedDoc>false</SharedDoc>
  <HLinks>
    <vt:vector size="324" baseType="variant">
      <vt:variant>
        <vt:i4>4128886</vt:i4>
      </vt:variant>
      <vt:variant>
        <vt:i4>159</vt:i4>
      </vt:variant>
      <vt:variant>
        <vt:i4>0</vt:i4>
      </vt:variant>
      <vt:variant>
        <vt:i4>5</vt:i4>
      </vt:variant>
      <vt:variant>
        <vt:lpwstr>https://doi.org/10.1016/j.actaastro.2021.01.012</vt:lpwstr>
      </vt:variant>
      <vt:variant>
        <vt:lpwstr/>
      </vt:variant>
      <vt:variant>
        <vt:i4>2293886</vt:i4>
      </vt:variant>
      <vt:variant>
        <vt:i4>156</vt:i4>
      </vt:variant>
      <vt:variant>
        <vt:i4>0</vt:i4>
      </vt:variant>
      <vt:variant>
        <vt:i4>5</vt:i4>
      </vt:variant>
      <vt:variant>
        <vt:lpwstr>https://doi.org/10.1016/j.gloenvcha.2009.10.001</vt:lpwstr>
      </vt:variant>
      <vt:variant>
        <vt:lpwstr/>
      </vt:variant>
      <vt:variant>
        <vt:i4>4325461</vt:i4>
      </vt:variant>
      <vt:variant>
        <vt:i4>153</vt:i4>
      </vt:variant>
      <vt:variant>
        <vt:i4>0</vt:i4>
      </vt:variant>
      <vt:variant>
        <vt:i4>5</vt:i4>
      </vt:variant>
      <vt:variant>
        <vt:lpwstr>https://www.worldenergy.org/assets/images/imported/2013/09/2013-Energy-Sustainability-Index-VOL-2.pdf</vt:lpwstr>
      </vt:variant>
      <vt:variant>
        <vt:lpwstr/>
      </vt:variant>
      <vt:variant>
        <vt:i4>8060929</vt:i4>
      </vt:variant>
      <vt:variant>
        <vt:i4>150</vt:i4>
      </vt:variant>
      <vt:variant>
        <vt:i4>0</vt:i4>
      </vt:variant>
      <vt:variant>
        <vt:i4>5</vt:i4>
      </vt:variant>
      <vt:variant>
        <vt:lpwstr>https://www.whitehouse.gov/presidential-actions/2025/12/ensuring-american-space-superiority/?utm_source=chatgpt.com</vt:lpwstr>
      </vt:variant>
      <vt:variant>
        <vt:lpwstr/>
      </vt:variant>
      <vt:variant>
        <vt:i4>2883628</vt:i4>
      </vt:variant>
      <vt:variant>
        <vt:i4>147</vt:i4>
      </vt:variant>
      <vt:variant>
        <vt:i4>0</vt:i4>
      </vt:variant>
      <vt:variant>
        <vt:i4>5</vt:i4>
      </vt:variant>
      <vt:variant>
        <vt:lpwstr>https://doi.org/10.1016/j.spacepol.2012.06.004</vt:lpwstr>
      </vt:variant>
      <vt:variant>
        <vt:lpwstr/>
      </vt:variant>
      <vt:variant>
        <vt:i4>393238</vt:i4>
      </vt:variant>
      <vt:variant>
        <vt:i4>144</vt:i4>
      </vt:variant>
      <vt:variant>
        <vt:i4>0</vt:i4>
      </vt:variant>
      <vt:variant>
        <vt:i4>5</vt:i4>
      </vt:variant>
      <vt:variant>
        <vt:lpwstr>https://doi.org/10.1007/s10784-010-9130-x</vt:lpwstr>
      </vt:variant>
      <vt:variant>
        <vt:lpwstr/>
      </vt:variant>
      <vt:variant>
        <vt:i4>1048599</vt:i4>
      </vt:variant>
      <vt:variant>
        <vt:i4>141</vt:i4>
      </vt:variant>
      <vt:variant>
        <vt:i4>0</vt:i4>
      </vt:variant>
      <vt:variant>
        <vt:i4>5</vt:i4>
      </vt:variant>
      <vt:variant>
        <vt:lpwstr>https://www.unep.org/resources/emissions-gap-report-2023</vt:lpwstr>
      </vt:variant>
      <vt:variant>
        <vt:lpwstr/>
      </vt:variant>
      <vt:variant>
        <vt:i4>2162792</vt:i4>
      </vt:variant>
      <vt:variant>
        <vt:i4>138</vt:i4>
      </vt:variant>
      <vt:variant>
        <vt:i4>0</vt:i4>
      </vt:variant>
      <vt:variant>
        <vt:i4>5</vt:i4>
      </vt:variant>
      <vt:variant>
        <vt:lpwstr>https://technrok.com/ohisama-by-jaxa-retrodirective-beam-control-for-space-based-solar-power-transmission/</vt:lpwstr>
      </vt:variant>
      <vt:variant>
        <vt:lpwstr/>
      </vt:variant>
      <vt:variant>
        <vt:i4>7405679</vt:i4>
      </vt:variant>
      <vt:variant>
        <vt:i4>135</vt:i4>
      </vt:variant>
      <vt:variant>
        <vt:i4>0</vt:i4>
      </vt:variant>
      <vt:variant>
        <vt:i4>5</vt:i4>
      </vt:variant>
      <vt:variant>
        <vt:lpwstr>https://spaceenergyinitiative.org.uk/cassiopeia-beamed-power-through-the-long-lunar-night/</vt:lpwstr>
      </vt:variant>
      <vt:variant>
        <vt:lpwstr/>
      </vt:variant>
      <vt:variant>
        <vt:i4>917582</vt:i4>
      </vt:variant>
      <vt:variant>
        <vt:i4>132</vt:i4>
      </vt:variant>
      <vt:variant>
        <vt:i4>0</vt:i4>
      </vt:variant>
      <vt:variant>
        <vt:i4>5</vt:i4>
      </vt:variant>
      <vt:variant>
        <vt:lpwstr>https://doi.org/10.1080/14693062.2018.1521332</vt:lpwstr>
      </vt:variant>
      <vt:variant>
        <vt:lpwstr/>
      </vt:variant>
      <vt:variant>
        <vt:i4>8061039</vt:i4>
      </vt:variant>
      <vt:variant>
        <vt:i4>129</vt:i4>
      </vt:variant>
      <vt:variant>
        <vt:i4>0</vt:i4>
      </vt:variant>
      <vt:variant>
        <vt:i4>5</vt:i4>
      </vt:variant>
      <vt:variant>
        <vt:lpwstr>https://spacedream.sakura.ne.jp/PDFSPSENG14.pdf</vt:lpwstr>
      </vt:variant>
      <vt:variant>
        <vt:lpwstr/>
      </vt:variant>
      <vt:variant>
        <vt:i4>3932198</vt:i4>
      </vt:variant>
      <vt:variant>
        <vt:i4>126</vt:i4>
      </vt:variant>
      <vt:variant>
        <vt:i4>0</vt:i4>
      </vt:variant>
      <vt:variant>
        <vt:i4>5</vt:i4>
      </vt:variant>
      <vt:variant>
        <vt:lpwstr>https://www.hks.harvard.edu/publications/industrial-policy-twenty-first-century</vt:lpwstr>
      </vt:variant>
      <vt:variant>
        <vt:lpwstr/>
      </vt:variant>
      <vt:variant>
        <vt:i4>5439558</vt:i4>
      </vt:variant>
      <vt:variant>
        <vt:i4>123</vt:i4>
      </vt:variant>
      <vt:variant>
        <vt:i4>0</vt:i4>
      </vt:variant>
      <vt:variant>
        <vt:i4>5</vt:i4>
      </vt:variant>
      <vt:variant>
        <vt:lpwstr>https://maritimesafetyinnovationlab.org/wp-content/uploads/2021/04/Normal-Accidents-Living-With-High-Risk-Technologies-Perrow.pdf</vt:lpwstr>
      </vt:variant>
      <vt:variant>
        <vt:lpwstr/>
      </vt:variant>
      <vt:variant>
        <vt:i4>5832776</vt:i4>
      </vt:variant>
      <vt:variant>
        <vt:i4>120</vt:i4>
      </vt:variant>
      <vt:variant>
        <vt:i4>0</vt:i4>
      </vt:variant>
      <vt:variant>
        <vt:i4>5</vt:i4>
      </vt:variant>
      <vt:variant>
        <vt:lpwstr>https://doi.org/10.1257/aer.100.3.641</vt:lpwstr>
      </vt:variant>
      <vt:variant>
        <vt:lpwstr/>
      </vt:variant>
      <vt:variant>
        <vt:i4>7078009</vt:i4>
      </vt:variant>
      <vt:variant>
        <vt:i4>117</vt:i4>
      </vt:variant>
      <vt:variant>
        <vt:i4>0</vt:i4>
      </vt:variant>
      <vt:variant>
        <vt:i4>5</vt:i4>
      </vt:variant>
      <vt:variant>
        <vt:lpwstr>https://doi.org/10.1002/wcc.52</vt:lpwstr>
      </vt:variant>
      <vt:variant>
        <vt:lpwstr/>
      </vt:variant>
      <vt:variant>
        <vt:i4>4390945</vt:i4>
      </vt:variant>
      <vt:variant>
        <vt:i4>114</vt:i4>
      </vt:variant>
      <vt:variant>
        <vt:i4>0</vt:i4>
      </vt:variant>
      <vt:variant>
        <vt:i4>5</vt:i4>
      </vt:variant>
      <vt:variant>
        <vt:lpwstr>https://www.oecd.org/content/dam/oecd/en/publications/reports/2019/01/the-costs-of-decarbonisation_g1g9f42f/9789264312180-en.pdf</vt:lpwstr>
      </vt:variant>
      <vt:variant>
        <vt:lpwstr/>
      </vt:variant>
      <vt:variant>
        <vt:i4>6553708</vt:i4>
      </vt:variant>
      <vt:variant>
        <vt:i4>111</vt:i4>
      </vt:variant>
      <vt:variant>
        <vt:i4>0</vt:i4>
      </vt:variant>
      <vt:variant>
        <vt:i4>5</vt:i4>
      </vt:variant>
      <vt:variant>
        <vt:lpwstr>https://orbitaltoday.com/2024/04/25/japan-is-to-launch-its-first-space-based-solar-power-plant-in-2025-but-is-it-effective/</vt:lpwstr>
      </vt:variant>
      <vt:variant>
        <vt:lpwstr/>
      </vt:variant>
      <vt:variant>
        <vt:i4>3211311</vt:i4>
      </vt:variant>
      <vt:variant>
        <vt:i4>108</vt:i4>
      </vt:variant>
      <vt:variant>
        <vt:i4>0</vt:i4>
      </vt:variant>
      <vt:variant>
        <vt:i4>5</vt:i4>
      </vt:variant>
      <vt:variant>
        <vt:lpwstr>https://doi.org/10.1016/j.jsse.2020.06.003</vt:lpwstr>
      </vt:variant>
      <vt:variant>
        <vt:lpwstr/>
      </vt:variant>
      <vt:variant>
        <vt:i4>7733345</vt:i4>
      </vt:variant>
      <vt:variant>
        <vt:i4>105</vt:i4>
      </vt:variant>
      <vt:variant>
        <vt:i4>0</vt:i4>
      </vt:variant>
      <vt:variant>
        <vt:i4>5</vt:i4>
      </vt:variant>
      <vt:variant>
        <vt:lpwstr>https://doi.org/10.1146/annurev-resource-100913-012655</vt:lpwstr>
      </vt:variant>
      <vt:variant>
        <vt:lpwstr/>
      </vt:variant>
      <vt:variant>
        <vt:i4>2424939</vt:i4>
      </vt:variant>
      <vt:variant>
        <vt:i4>102</vt:i4>
      </vt:variant>
      <vt:variant>
        <vt:i4>0</vt:i4>
      </vt:variant>
      <vt:variant>
        <vt:i4>5</vt:i4>
      </vt:variant>
      <vt:variant>
        <vt:lpwstr>https://www.nasa.gov/wp-content/uploads/2024/01/otps-sbsp-report-final-tagged-approved-1-8-24-tagged-v2.pdf</vt:lpwstr>
      </vt:variant>
      <vt:variant>
        <vt:lpwstr/>
      </vt:variant>
      <vt:variant>
        <vt:i4>1835028</vt:i4>
      </vt:variant>
      <vt:variant>
        <vt:i4>99</vt:i4>
      </vt:variant>
      <vt:variant>
        <vt:i4>0</vt:i4>
      </vt:variant>
      <vt:variant>
        <vt:i4>5</vt:i4>
      </vt:variant>
      <vt:variant>
        <vt:lpwstr>https://doi.org/10.29202/asl/14/5</vt:lpwstr>
      </vt:variant>
      <vt:variant>
        <vt:lpwstr/>
      </vt:variant>
      <vt:variant>
        <vt:i4>3538995</vt:i4>
      </vt:variant>
      <vt:variant>
        <vt:i4>96</vt:i4>
      </vt:variant>
      <vt:variant>
        <vt:i4>0</vt:i4>
      </vt:variant>
      <vt:variant>
        <vt:i4>5</vt:i4>
      </vt:variant>
      <vt:variant>
        <vt:lpwstr>https://www.livescience.com/space/space-exploration/china-plans-to-build-enormous-solar-array-in-space-and-it-could-collect-more-energy-in-a-year-than-all-the-oil-on-earth</vt:lpwstr>
      </vt:variant>
      <vt:variant>
        <vt:lpwstr/>
      </vt:variant>
      <vt:variant>
        <vt:i4>6291563</vt:i4>
      </vt:variant>
      <vt:variant>
        <vt:i4>93</vt:i4>
      </vt:variant>
      <vt:variant>
        <vt:i4>0</vt:i4>
      </vt:variant>
      <vt:variant>
        <vt:i4>5</vt:i4>
      </vt:variant>
      <vt:variant>
        <vt:lpwstr>https://doi.org/10.1029/JA083iA06p02637</vt:lpwstr>
      </vt:variant>
      <vt:variant>
        <vt:lpwstr/>
      </vt:variant>
      <vt:variant>
        <vt:i4>327706</vt:i4>
      </vt:variant>
      <vt:variant>
        <vt:i4>90</vt:i4>
      </vt:variant>
      <vt:variant>
        <vt:i4>0</vt:i4>
      </vt:variant>
      <vt:variant>
        <vt:i4>5</vt:i4>
      </vt:variant>
      <vt:variant>
        <vt:lpwstr>https://doi.org/10.1007/s11077-014-9201-x</vt:lpwstr>
      </vt:variant>
      <vt:variant>
        <vt:lpwstr/>
      </vt:variant>
      <vt:variant>
        <vt:i4>1507415</vt:i4>
      </vt:variant>
      <vt:variant>
        <vt:i4>87</vt:i4>
      </vt:variant>
      <vt:variant>
        <vt:i4>0</vt:i4>
      </vt:variant>
      <vt:variant>
        <vt:i4>5</vt:i4>
      </vt:variant>
      <vt:variant>
        <vt:lpwstr>https://doi.org/10.1007/978-3-319-54364-2</vt:lpwstr>
      </vt:variant>
      <vt:variant>
        <vt:lpwstr/>
      </vt:variant>
      <vt:variant>
        <vt:i4>4718593</vt:i4>
      </vt:variant>
      <vt:variant>
        <vt:i4>84</vt:i4>
      </vt:variant>
      <vt:variant>
        <vt:i4>0</vt:i4>
      </vt:variant>
      <vt:variant>
        <vt:i4>5</vt:i4>
      </vt:variant>
      <vt:variant>
        <vt:lpwstr>https://www.ispionline.it/en/publication/the-space-based-solar-power-systems-state-of-the-art-and-implications-183944</vt:lpwstr>
      </vt:variant>
      <vt:variant>
        <vt:lpwstr/>
      </vt:variant>
      <vt:variant>
        <vt:i4>4784212</vt:i4>
      </vt:variant>
      <vt:variant>
        <vt:i4>81</vt:i4>
      </vt:variant>
      <vt:variant>
        <vt:i4>0</vt:i4>
      </vt:variant>
      <vt:variant>
        <vt:i4>5</vt:i4>
      </vt:variant>
      <vt:variant>
        <vt:lpwstr>https://doi.org/10.1109/IEEESTD.2018.8332112</vt:lpwstr>
      </vt:variant>
      <vt:variant>
        <vt:lpwstr/>
      </vt:variant>
      <vt:variant>
        <vt:i4>262174</vt:i4>
      </vt:variant>
      <vt:variant>
        <vt:i4>78</vt:i4>
      </vt:variant>
      <vt:variant>
        <vt:i4>0</vt:i4>
      </vt:variant>
      <vt:variant>
        <vt:i4>5</vt:i4>
      </vt:variant>
      <vt:variant>
        <vt:lpwstr>https://www.irena.org/Publications/2023/Aug/Renewable-Power-Generation-Costs-in-2022</vt:lpwstr>
      </vt:variant>
      <vt:variant>
        <vt:lpwstr/>
      </vt:variant>
      <vt:variant>
        <vt:i4>5963779</vt:i4>
      </vt:variant>
      <vt:variant>
        <vt:i4>75</vt:i4>
      </vt:variant>
      <vt:variant>
        <vt:i4>0</vt:i4>
      </vt:variant>
      <vt:variant>
        <vt:i4>5</vt:i4>
      </vt:variant>
      <vt:variant>
        <vt:lpwstr>https://www.iea.org/reports/world-energy-outlook-2023</vt:lpwstr>
      </vt:variant>
      <vt:variant>
        <vt:lpwstr/>
      </vt:variant>
      <vt:variant>
        <vt:i4>3932270</vt:i4>
      </vt:variant>
      <vt:variant>
        <vt:i4>72</vt:i4>
      </vt:variant>
      <vt:variant>
        <vt:i4>0</vt:i4>
      </vt:variant>
      <vt:variant>
        <vt:i4>5</vt:i4>
      </vt:variant>
      <vt:variant>
        <vt:lpwstr>https://doi.org/10.1016/j.sspwt.2025.11.006</vt:lpwstr>
      </vt:variant>
      <vt:variant>
        <vt:lpwstr/>
      </vt:variant>
      <vt:variant>
        <vt:i4>393303</vt:i4>
      </vt:variant>
      <vt:variant>
        <vt:i4>69</vt:i4>
      </vt:variant>
      <vt:variant>
        <vt:i4>0</vt:i4>
      </vt:variant>
      <vt:variant>
        <vt:i4>5</vt:i4>
      </vt:variant>
      <vt:variant>
        <vt:lpwstr>https://www.satellitetoday.com/space-economy/2025/04/28/space-solar-completes-design-study-for-cassiopeia-satellite/</vt:lpwstr>
      </vt:variant>
      <vt:variant>
        <vt:lpwstr/>
      </vt:variant>
      <vt:variant>
        <vt:i4>2424884</vt:i4>
      </vt:variant>
      <vt:variant>
        <vt:i4>66</vt:i4>
      </vt:variant>
      <vt:variant>
        <vt:i4>0</vt:i4>
      </vt:variant>
      <vt:variant>
        <vt:i4>5</vt:i4>
      </vt:variant>
      <vt:variant>
        <vt:lpwstr>https://doi.org/10.1109/JPROC.2022.3203620</vt:lpwstr>
      </vt:variant>
      <vt:variant>
        <vt:lpwstr/>
      </vt:variant>
      <vt:variant>
        <vt:i4>851974</vt:i4>
      </vt:variant>
      <vt:variant>
        <vt:i4>63</vt:i4>
      </vt:variant>
      <vt:variant>
        <vt:i4>0</vt:i4>
      </vt:variant>
      <vt:variant>
        <vt:i4>5</vt:i4>
      </vt:variant>
      <vt:variant>
        <vt:lpwstr>https://doi.org/10.1016/S0921-8009(97)00147-X</vt:lpwstr>
      </vt:variant>
      <vt:variant>
        <vt:lpwstr/>
      </vt:variant>
      <vt:variant>
        <vt:i4>3735650</vt:i4>
      </vt:variant>
      <vt:variant>
        <vt:i4>60</vt:i4>
      </vt:variant>
      <vt:variant>
        <vt:i4>0</vt:i4>
      </vt:variant>
      <vt:variant>
        <vt:i4>5</vt:i4>
      </vt:variant>
      <vt:variant>
        <vt:lpwstr>https://doi.org/10.1016/j.enpol.2011.10.042</vt:lpwstr>
      </vt:variant>
      <vt:variant>
        <vt:lpwstr/>
      </vt:variant>
      <vt:variant>
        <vt:i4>7602288</vt:i4>
      </vt:variant>
      <vt:variant>
        <vt:i4>57</vt:i4>
      </vt:variant>
      <vt:variant>
        <vt:i4>0</vt:i4>
      </vt:variant>
      <vt:variant>
        <vt:i4>5</vt:i4>
      </vt:variant>
      <vt:variant>
        <vt:lpwstr>https://www.gminsights.com/industry-analysis/space-based-solar-power-market</vt:lpwstr>
      </vt:variant>
      <vt:variant>
        <vt:lpwstr/>
      </vt:variant>
      <vt:variant>
        <vt:i4>4390994</vt:i4>
      </vt:variant>
      <vt:variant>
        <vt:i4>54</vt:i4>
      </vt:variant>
      <vt:variant>
        <vt:i4>0</vt:i4>
      </vt:variant>
      <vt:variant>
        <vt:i4>5</vt:i4>
      </vt:variant>
      <vt:variant>
        <vt:lpwstr>https://doi.org/10.1126/science.162.3856.857</vt:lpwstr>
      </vt:variant>
      <vt:variant>
        <vt:lpwstr/>
      </vt:variant>
      <vt:variant>
        <vt:i4>6160401</vt:i4>
      </vt:variant>
      <vt:variant>
        <vt:i4>51</vt:i4>
      </vt:variant>
      <vt:variant>
        <vt:i4>0</vt:i4>
      </vt:variant>
      <vt:variant>
        <vt:i4>5</vt:i4>
      </vt:variant>
      <vt:variant>
        <vt:lpwstr>https://doi.org/10.1093/oxrep/grp024</vt:lpwstr>
      </vt:variant>
      <vt:variant>
        <vt:lpwstr/>
      </vt:variant>
      <vt:variant>
        <vt:i4>4849728</vt:i4>
      </vt:variant>
      <vt:variant>
        <vt:i4>48</vt:i4>
      </vt:variant>
      <vt:variant>
        <vt:i4>0</vt:i4>
      </vt:variant>
      <vt:variant>
        <vt:i4>5</vt:i4>
      </vt:variant>
      <vt:variant>
        <vt:lpwstr>https://www.esa.int/Space_in_Member_States/United_Kingdom/ESA_accelerates_the_race_towards_clean_energy_from_space</vt:lpwstr>
      </vt:variant>
      <vt:variant>
        <vt:lpwstr/>
      </vt:variant>
      <vt:variant>
        <vt:i4>3932273</vt:i4>
      </vt:variant>
      <vt:variant>
        <vt:i4>45</vt:i4>
      </vt:variant>
      <vt:variant>
        <vt:i4>0</vt:i4>
      </vt:variant>
      <vt:variant>
        <vt:i4>5</vt:i4>
      </vt:variant>
      <vt:variant>
        <vt:lpwstr>https://doi.org/10.1016/j.actaastro.2023.06.009</vt:lpwstr>
      </vt:variant>
      <vt:variant>
        <vt:lpwstr/>
      </vt:variant>
      <vt:variant>
        <vt:i4>7995439</vt:i4>
      </vt:variant>
      <vt:variant>
        <vt:i4>42</vt:i4>
      </vt:variant>
      <vt:variant>
        <vt:i4>0</vt:i4>
      </vt:variant>
      <vt:variant>
        <vt:i4>5</vt:i4>
      </vt:variant>
      <vt:variant>
        <vt:lpwstr>https://www.gov.uk/government/news/uk-shoots-for-the-stars-as-space-based-solar-power-prepares-for-lift-off</vt:lpwstr>
      </vt:variant>
      <vt:variant>
        <vt:lpwstr/>
      </vt:variant>
      <vt:variant>
        <vt:i4>5898332</vt:i4>
      </vt:variant>
      <vt:variant>
        <vt:i4>39</vt:i4>
      </vt:variant>
      <vt:variant>
        <vt:i4>0</vt:i4>
      </vt:variant>
      <vt:variant>
        <vt:i4>5</vt:i4>
      </vt:variant>
      <vt:variant>
        <vt:lpwstr>https://docs.nrel.gov/docs/fy09osti/45834.pdf</vt:lpwstr>
      </vt:variant>
      <vt:variant>
        <vt:lpwstr/>
      </vt:variant>
      <vt:variant>
        <vt:i4>2752550</vt:i4>
      </vt:variant>
      <vt:variant>
        <vt:i4>36</vt:i4>
      </vt:variant>
      <vt:variant>
        <vt:i4>0</vt:i4>
      </vt:variant>
      <vt:variant>
        <vt:i4>5</vt:i4>
      </vt:variant>
      <vt:variant>
        <vt:lpwstr>https://doi.org/10.1016/j.rser.2014.03.039</vt:lpwstr>
      </vt:variant>
      <vt:variant>
        <vt:lpwstr/>
      </vt:variant>
      <vt:variant>
        <vt:i4>6094936</vt:i4>
      </vt:variant>
      <vt:variant>
        <vt:i4>33</vt:i4>
      </vt:variant>
      <vt:variant>
        <vt:i4>0</vt:i4>
      </vt:variant>
      <vt:variant>
        <vt:i4>5</vt:i4>
      </vt:variant>
      <vt:variant>
        <vt:lpwstr>https://docs.nrel.gov/docs/fy10osti/44849.pdf</vt:lpwstr>
      </vt:variant>
      <vt:variant>
        <vt:lpwstr/>
      </vt:variant>
      <vt:variant>
        <vt:i4>2818103</vt:i4>
      </vt:variant>
      <vt:variant>
        <vt:i4>30</vt:i4>
      </vt:variant>
      <vt:variant>
        <vt:i4>0</vt:i4>
      </vt:variant>
      <vt:variant>
        <vt:i4>5</vt:i4>
      </vt:variant>
      <vt:variant>
        <vt:lpwstr>https://doi.org/10.1016/j.spacepol.2020.101375</vt:lpwstr>
      </vt:variant>
      <vt:variant>
        <vt:lpwstr/>
      </vt:variant>
      <vt:variant>
        <vt:i4>2097250</vt:i4>
      </vt:variant>
      <vt:variant>
        <vt:i4>27</vt:i4>
      </vt:variant>
      <vt:variant>
        <vt:i4>0</vt:i4>
      </vt:variant>
      <vt:variant>
        <vt:i4>5</vt:i4>
      </vt:variant>
      <vt:variant>
        <vt:lpwstr>https://doi.org/10.1016/j.joule.2025.102074</vt:lpwstr>
      </vt:variant>
      <vt:variant>
        <vt:lpwstr/>
      </vt:variant>
      <vt:variant>
        <vt:i4>1376349</vt:i4>
      </vt:variant>
      <vt:variant>
        <vt:i4>24</vt:i4>
      </vt:variant>
      <vt:variant>
        <vt:i4>0</vt:i4>
      </vt:variant>
      <vt:variant>
        <vt:i4>5</vt:i4>
      </vt:variant>
      <vt:variant>
        <vt:lpwstr>https://doi.org/10.1017/9781108597135</vt:lpwstr>
      </vt:variant>
      <vt:variant>
        <vt:lpwstr/>
      </vt:variant>
      <vt:variant>
        <vt:i4>917568</vt:i4>
      </vt:variant>
      <vt:variant>
        <vt:i4>21</vt:i4>
      </vt:variant>
      <vt:variant>
        <vt:i4>0</vt:i4>
      </vt:variant>
      <vt:variant>
        <vt:i4>5</vt:i4>
      </vt:variant>
      <vt:variant>
        <vt:lpwstr>https://doi.org/10.2139/ssrn.5138442</vt:lpwstr>
      </vt:variant>
      <vt:variant>
        <vt:lpwstr/>
      </vt:variant>
      <vt:variant>
        <vt:i4>2490477</vt:i4>
      </vt:variant>
      <vt:variant>
        <vt:i4>18</vt:i4>
      </vt:variant>
      <vt:variant>
        <vt:i4>0</vt:i4>
      </vt:variant>
      <vt:variant>
        <vt:i4>5</vt:i4>
      </vt:variant>
      <vt:variant>
        <vt:lpwstr>https://doi.org/10.2307/2234208</vt:lpwstr>
      </vt:variant>
      <vt:variant>
        <vt:lpwstr/>
      </vt:variant>
      <vt:variant>
        <vt:i4>1048576</vt:i4>
      </vt:variant>
      <vt:variant>
        <vt:i4>15</vt:i4>
      </vt:variant>
      <vt:variant>
        <vt:i4>0</vt:i4>
      </vt:variant>
      <vt:variant>
        <vt:i4>5</vt:i4>
      </vt:variant>
      <vt:variant>
        <vt:lpwstr>https://doi.org/10.1016/j.heliyon.2024.e29996</vt:lpwstr>
      </vt:variant>
      <vt:variant>
        <vt:lpwstr/>
      </vt:variant>
      <vt:variant>
        <vt:i4>2621548</vt:i4>
      </vt:variant>
      <vt:variant>
        <vt:i4>12</vt:i4>
      </vt:variant>
      <vt:variant>
        <vt:i4>0</vt:i4>
      </vt:variant>
      <vt:variant>
        <vt:i4>5</vt:i4>
      </vt:variant>
      <vt:variant>
        <vt:lpwstr>https://doi.org/10.1162/002081800551280</vt:lpwstr>
      </vt:variant>
      <vt:variant>
        <vt:lpwstr/>
      </vt:variant>
      <vt:variant>
        <vt:i4>1441838</vt:i4>
      </vt:variant>
      <vt:variant>
        <vt:i4>9</vt:i4>
      </vt:variant>
      <vt:variant>
        <vt:i4>0</vt:i4>
      </vt:variant>
      <vt:variant>
        <vt:i4>5</vt:i4>
      </vt:variant>
      <vt:variant>
        <vt:lpwstr>mailto:yni@csusb.edu</vt:lpwstr>
      </vt:variant>
      <vt:variant>
        <vt:lpwstr/>
      </vt:variant>
      <vt:variant>
        <vt:i4>3342359</vt:i4>
      </vt:variant>
      <vt:variant>
        <vt:i4>6</vt:i4>
      </vt:variant>
      <vt:variant>
        <vt:i4>0</vt:i4>
      </vt:variant>
      <vt:variant>
        <vt:i4>5</vt:i4>
      </vt:variant>
      <vt:variant>
        <vt:lpwstr>mailto:calebni21@gmail.com</vt:lpwstr>
      </vt:variant>
      <vt:variant>
        <vt:lpwstr/>
      </vt:variant>
      <vt:variant>
        <vt:i4>5570623</vt:i4>
      </vt:variant>
      <vt:variant>
        <vt:i4>3</vt:i4>
      </vt:variant>
      <vt:variant>
        <vt:i4>0</vt:i4>
      </vt:variant>
      <vt:variant>
        <vt:i4>5</vt:i4>
      </vt:variant>
      <vt:variant>
        <vt:lpwstr>mailto:shrishti.sharma@csusb.edu</vt:lpwstr>
      </vt:variant>
      <vt:variant>
        <vt:lpwstr/>
      </vt:variant>
      <vt:variant>
        <vt:i4>1441838</vt:i4>
      </vt:variant>
      <vt:variant>
        <vt:i4>0</vt:i4>
      </vt:variant>
      <vt:variant>
        <vt:i4>0</vt:i4>
      </vt:variant>
      <vt:variant>
        <vt:i4>5</vt:i4>
      </vt:variant>
      <vt:variant>
        <vt:lpwstr>mailto:yni@csusb.edu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Ni</dc:creator>
  <cp:keywords/>
  <dc:description/>
  <cp:lastModifiedBy>Anna Ni</cp:lastModifiedBy>
  <cp:revision>4</cp:revision>
  <cp:lastPrinted>2025-08-26T18:53:00Z</cp:lastPrinted>
  <dcterms:created xsi:type="dcterms:W3CDTF">2026-01-16T18:34:00Z</dcterms:created>
  <dcterms:modified xsi:type="dcterms:W3CDTF">2026-01-16T18:54:00Z</dcterms:modified>
</cp:coreProperties>
</file>