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PolicyForge: Automated Healthcare Policy Extraction</w:t>
      </w:r>
    </w:p>
    <w:p>
      <w:pPr>
        <w:spacing w:after="80"/>
        <w:jc w:val="center"/>
      </w:pPr>
      <w:r>
        <w:rPr>
          <w:i/>
          <w:sz w:val="22"/>
        </w:rPr>
        <w:t>Content Management in Health Care: Converting Billing Policies into</w:t>
        <w:br/>
        <w:t>Executable Rules Using Large Language Models</w:t>
      </w:r>
    </w:p>
    <w:p>
      <w:pPr>
        <w:spacing w:after="200"/>
        <w:jc w:val="center"/>
      </w:pPr>
      <w:r>
        <w:rPr>
          <w:color w:val="555555"/>
          <w:sz w:val="20"/>
        </w:rPr>
        <w:t>Abhishek Kumar  |  Cotiviti Intern Assessment  |  July 2026</w:t>
      </w:r>
    </w:p>
    <w:p>
      <w:pPr>
        <w:spacing w:after="160"/>
      </w:pPr>
      <w:r>
        <w:rPr>
          <w:color w:val="AAAAAA"/>
          <w:sz w:val="16"/>
        </w:rPr>
        <w:t>────────────────────────────────────────────────────────────────────────────────</w:t>
      </w:r>
    </w:p>
    <w:p>
      <w:pPr>
        <w:spacing w:before="80" w:after="80"/>
      </w:pPr>
      <w:r>
        <w:rPr>
          <w:b/>
          <w:color w:val="1F497D"/>
          <w:sz w:val="26"/>
        </w:rPr>
        <w:t>1. Topic Definition</w:t>
      </w:r>
    </w:p>
    <w:p>
      <w:pPr>
        <w:spacing w:after="100" w:before="0"/>
      </w:pPr>
      <w:r>
        <w:rPr>
          <w:i w:val="0"/>
          <w:sz w:val="22"/>
        </w:rPr>
        <w:t>Healthcare payers—including Cotiviti—process thousands of Medicare National Coverage Determinations (NCDs) and Local Coverage Determinations (LCDs). Each policy encodes clinical rules: which procedure codes (HCPCS/CPT) are covered, at what frequency, and under which patient conditions. Translating these documents into machine-executable logic is the domain of healthcare content management.</w:t>
      </w:r>
    </w:p>
    <w:p>
      <w:pPr>
        <w:spacing w:after="100" w:before="0"/>
      </w:pPr>
      <w:r>
        <w:rPr>
          <w:i w:val="0"/>
          <w:sz w:val="22"/>
        </w:rPr>
        <w:t>PolicyForge demonstrates a modern approach to this challenge: a multi-agent Large Language Model (LLM) pipeline that ingests raw policy text and outputs structured, validated extraction objects—HCPCS code sets, frequency limits, and eligibility criteria—ready for downstream claims adjudication. The pipeline combines Retrieval-Augmented Generation (RAG) for contextual grounding, Pydantic schema validation for data integrity, and statistical outlier detection for audit triage.</w:t>
      </w:r>
    </w:p>
    <w:p>
      <w:pPr>
        <w:spacing w:before="120" w:after="80"/>
      </w:pPr>
      <w:r>
        <w:rPr>
          <w:b/>
          <w:color w:val="1F497D"/>
          <w:sz w:val="26"/>
        </w:rPr>
        <w:t>2. Relevant Trends</w:t>
      </w:r>
    </w:p>
    <w:p>
      <w:pPr>
        <w:spacing w:after="60" w:before="0"/>
      </w:pPr>
      <w:r>
        <w:rPr>
          <w:i w:val="0"/>
          <w:sz w:val="22"/>
        </w:rPr>
        <w:t>Three converging forces are reshaping healthcare content management:</w:t>
      </w:r>
    </w:p>
    <w:p>
      <w:pPr>
        <w:pStyle w:val="ListBullet"/>
        <w:spacing w:after="60" w:before="0"/>
      </w:pPr>
      <w:r>
        <w:rPr>
          <w:sz w:val="22"/>
        </w:rPr>
        <w:t>LLM Maturation. Instruction-tuned models (GPT-4, Mistral-large, Claude 3) now extract structured data from complex regulatory prose with accuracy approaching human medical coders. Structured-output APIs (JSON mode) eliminate post-processing fragility.</w:t>
      </w:r>
    </w:p>
    <w:p>
      <w:pPr>
        <w:pStyle w:val="ListBullet"/>
        <w:spacing w:after="60" w:before="0"/>
      </w:pPr>
      <w:r>
        <w:rPr>
          <w:sz w:val="22"/>
        </w:rPr>
        <w:t>Policy Volume Growth. CMS issued 1,200+ coverage policy updates in 2023 alone. Manual extraction—at roughly 45 minutes and $56 per policy—cannot scale to this velocity, creating a $67M+ annual burden across major payers (estimated from CMS policy update rates and analyst labor costs).</w:t>
      </w:r>
    </w:p>
    <w:p>
      <w:pPr>
        <w:pStyle w:val="ListBullet"/>
        <w:spacing w:after="60" w:before="0"/>
      </w:pPr>
      <w:r>
        <w:rPr>
          <w:sz w:val="22"/>
        </w:rPr>
        <w:t>Agentic Orchestration. Frameworks like LangGraph enable multi-step validation pipelines where a Critic agent catches LLM errors before they propagate downstream—reducing false extractions that would otherwise generate wrongful claim denials.</w:t>
      </w:r>
    </w:p>
    <w:p>
      <w:pPr>
        <w:spacing w:before="120" w:after="80"/>
      </w:pPr>
      <w:r>
        <w:rPr>
          <w:b/>
          <w:color w:val="1F497D"/>
          <w:sz w:val="26"/>
        </w:rPr>
        <w:t>3. Opportunities and Threats</w:t>
      </w:r>
    </w:p>
    <w:p>
      <w:pPr>
        <w:spacing w:after="40" w:before="0"/>
      </w:pPr>
      <w:r>
        <w:rPr>
          <w:b/>
          <w:i w:val="0"/>
          <w:sz w:val="22"/>
        </w:rPr>
        <w:t>Opportunities:</w:t>
      </w:r>
    </w:p>
    <w:p>
      <w:pPr>
        <w:pStyle w:val="ListBullet"/>
        <w:spacing w:after="60" w:before="0"/>
      </w:pPr>
      <w:r>
        <w:rPr>
          <w:sz w:val="22"/>
        </w:rPr>
        <w:t>15× Cost Reduction. PolicyForge processes a policy in 8 seconds at $3.75 (LLM API + 5-minute human review) versus $56.25 for fully manual extraction. At 1,000 policies annually, this yields $52,500 in direct savings.</w:t>
      </w:r>
    </w:p>
    <w:p>
      <w:pPr>
        <w:pStyle w:val="ListBullet"/>
        <w:spacing w:after="60" w:before="0"/>
      </w:pPr>
      <w:r>
        <w:rPr>
          <w:sz w:val="22"/>
        </w:rPr>
        <w:t>Accuracy at Scale. Evaluated on 15 diverse Medicare policies spanning cancer screening, cardiovascular disease, and behavioral health, PolicyForge achieved 98.2% mean F1 on HCPCS code extraction and 96.4% when weighted by clinical severity—exceeding the 95% threshold defined for initial automation eligibility.</w:t>
      </w:r>
    </w:p>
    <w:p>
      <w:pPr>
        <w:pStyle w:val="ListBullet"/>
        <w:spacing w:after="60" w:before="0"/>
      </w:pPr>
      <w:r>
        <w:rPr>
          <w:sz w:val="22"/>
        </w:rPr>
        <w:t>Audit Triage. Statistical outlier detection (2σ threshold on services-per-beneficiary) flags 1.8% of providers for human review—a clinically realistic audit rate that replaced a broken 100%-flag baseline through principled statistical design.</w:t>
      </w:r>
    </w:p>
    <w:p>
      <w:pPr>
        <w:spacing w:after="40" w:before="0"/>
      </w:pPr>
      <w:r>
        <w:rPr>
          <w:b/>
          <w:i w:val="0"/>
          <w:sz w:val="22"/>
        </w:rPr>
        <w:t>Threats:</w:t>
      </w:r>
    </w:p>
    <w:p>
      <w:pPr>
        <w:pStyle w:val="ListBullet"/>
        <w:spacing w:after="60" w:before="0"/>
      </w:pPr>
      <w:r>
        <w:rPr>
          <w:sz w:val="22"/>
        </w:rPr>
        <w:t>Clinical Safety Gap. Despite 98% mean F1, NCD 210.3 (colorectal cancer screening) scores 80% F1—meaning 2 of 11 HCPCS codes are missed. In a clinical context, incorrect denial of colonoscopy coverage delays life-saving screening. Healthcare automation requires ≥99% accuracy on Tier 1 (cancer) policies before removing human oversight.</w:t>
      </w:r>
    </w:p>
    <w:p>
      <w:pPr>
        <w:pStyle w:val="ListBullet"/>
        <w:spacing w:after="60" w:before="0"/>
      </w:pPr>
      <w:r>
        <w:rPr>
          <w:sz w:val="22"/>
        </w:rPr>
        <w:t>Regulatory Exposure. CMS requires audit trails for claims adjudication; FDA may classify clinical-decision-support software requiring 510(k) review. Full deployment without compliance architecture creates legal and operational risk.</w:t>
      </w:r>
    </w:p>
    <w:p>
      <w:pPr>
        <w:pStyle w:val="ListBullet"/>
        <w:spacing w:after="60" w:before="0"/>
      </w:pPr>
      <w:r>
        <w:rPr>
          <w:sz w:val="22"/>
        </w:rPr>
        <w:t>Self-Validation Bias. Gold standards were created by the same analyst who designed the system. Independent validation against NCCI (National Correct Coding Initiative) edit tables or a second certified medical coder is required before production certification.</w:t>
      </w:r>
    </w:p>
    <w:p>
      <w:r>
        <w:br w:type="page"/>
      </w:r>
    </w:p>
    <w:p>
      <w:pPr>
        <w:spacing w:before="80" w:after="80"/>
      </w:pPr>
      <w:r>
        <w:rPr>
          <w:b/>
          <w:color w:val="1F497D"/>
          <w:sz w:val="26"/>
        </w:rPr>
        <w:t>4. Strategic Recommendations for Cotiviti</w:t>
      </w:r>
    </w:p>
    <w:p>
      <w:pPr>
        <w:spacing w:after="80" w:before="0"/>
      </w:pPr>
      <w:r>
        <w:rPr>
          <w:i w:val="0"/>
          <w:sz w:val="22"/>
        </w:rPr>
        <w:t>Three deployment options are proposed, sequenced by risk and readiness:</w:t>
      </w:r>
    </w:p>
    <w:p>
      <w:pPr>
        <w:spacing w:before="80" w:after="40"/>
      </w:pPr>
      <w:r>
        <w:rPr>
          <w:b/>
          <w:color w:val="2E752F"/>
          <w:sz w:val="22"/>
        </w:rPr>
        <w:t>Option A — Audit Triage Tool (Deploy Immediately)</w:t>
      </w:r>
    </w:p>
    <w:p>
      <w:pPr>
        <w:spacing w:after="100" w:before="0"/>
      </w:pPr>
      <w:r>
        <w:rPr>
          <w:i w:val="0"/>
          <w:sz w:val="22"/>
        </w:rPr>
        <w:t>Deploy PolicyForge to flag statistical outliers (top 1.8% of providers by utilization rate) for human audit review. The system does not make final adjudication decisions; human coders review every flagged case. At 96.4% weighted F1, the tool is safe for triage—errors surface during human review rather than reaching claim denial. Expected ROI: 14× cost reduction for initial screening. Regulatory risk: Low (human in the loop). Recommended timeline: immediate.</w:t>
      </w:r>
    </w:p>
    <w:p>
      <w:pPr>
        <w:spacing w:before="80" w:after="40"/>
      </w:pPr>
      <w:r>
        <w:rPr>
          <w:b/>
          <w:color w:val="BF8700"/>
          <w:sz w:val="22"/>
        </w:rPr>
        <w:t>Option B — Hybrid Automation (6-Month Roadmap)</w:t>
      </w:r>
    </w:p>
    <w:p>
      <w:pPr>
        <w:spacing w:after="100" w:before="0"/>
      </w:pPr>
      <w:r>
        <w:rPr>
          <w:i w:val="0"/>
          <w:sz w:val="22"/>
        </w:rPr>
        <w:t>Route extractions by confidence tier. Tier 3 (behavioral health) and Tier 2 (cardiovascular/metabolic) policies—currently at 100% F1—auto-approve with a 10% spot audit. Tier 1 (cancer screening) retains mandatory human review until F1 reaches ≥95% on all constituent policies. Prerequisites: NCCI validation, confidence scoring implementation, and audit trail infrastructure. Expected ROI: 20× cost reduction. Regulatory risk: Medium. Recommended timeline: 6 months.</w:t>
      </w:r>
    </w:p>
    <w:p>
      <w:pPr>
        <w:spacing w:before="80" w:after="40"/>
      </w:pPr>
      <w:r>
        <w:rPr>
          <w:b/>
          <w:color w:val="C02B2B"/>
          <w:sz w:val="22"/>
        </w:rPr>
        <w:t>Option C — Full Automation (18+ Month Horizon, Not Yet Recommended)</w:t>
      </w:r>
    </w:p>
    <w:p>
      <w:pPr>
        <w:spacing w:after="120" w:before="0"/>
      </w:pPr>
      <w:r>
        <w:rPr>
          <w:i w:val="0"/>
          <w:sz w:val="22"/>
        </w:rPr>
        <w:t>Full unsupervised adjudication requires ≥99% weighted F1 on all policy tiers, external validation by certified medical coders, FDA 510(k) review for clinical decision support classification, continuous model monitoring with rollback capability, and HIPAA-compliant audit logging. This is a 2-year investment; premature deployment creates patient-safety liability. Not recommended without completing Option B first.</w:t>
      </w:r>
    </w:p>
    <w:p>
      <w:pPr>
        <w:spacing w:before="120" w:after="80"/>
      </w:pPr>
      <w:r>
        <w:rPr>
          <w:b/>
          <w:color w:val="1F497D"/>
          <w:sz w:val="26"/>
        </w:rPr>
        <w:t>5. Conclusion</w:t>
      </w:r>
    </w:p>
    <w:p>
      <w:pPr>
        <w:spacing w:after="120" w:before="0"/>
      </w:pPr>
      <w:r>
        <w:rPr>
          <w:i w:val="0"/>
          <w:sz w:val="22"/>
        </w:rPr>
        <w:t>PolicyForge demonstrates that LLM-based healthcare content management is technically viable and economically compelling. The 15× cost reduction and 98% extraction accuracy justify immediate investment in Option A (audit triage). However, clinical safety considerations—particularly the 80% F1 gap on colorectal cancer screening—require that full automation remain a staged, validated roadmap rather than a first deployment. The strategic imperative for Cotiviti is clear: move quickly to capture the efficiency gains of AI-assisted policy extraction while building the validation infrastructure necessary to earn the trust of regulators, payers, and patients.</w:t>
      </w:r>
    </w:p>
    <w:p>
      <w:r>
        <w:br w:type="page"/>
      </w:r>
    </w:p>
    <w:p>
      <w:pPr>
        <w:spacing w:before="80" w:after="160"/>
      </w:pPr>
      <w:r>
        <w:rPr>
          <w:b/>
          <w:color w:val="1F497D"/>
          <w:sz w:val="26"/>
        </w:rPr>
        <w:t>References</w:t>
      </w:r>
    </w:p>
    <w:p>
      <w:pPr>
        <w:spacing w:after="120" w:before="0"/>
        <w:ind w:left="720" w:hanging="720"/>
      </w:pPr>
      <w:r>
        <w:rPr>
          <w:sz w:val="20"/>
        </w:rPr>
        <w:t xml:space="preserve">Centers for Medicare &amp; Medicaid Services. (2023). </w:t>
      </w:r>
      <w:r>
        <w:rPr>
          <w:i/>
          <w:sz w:val="20"/>
        </w:rPr>
        <w:t xml:space="preserve">National coverage determinations (NCD) manual (Pub. 100-3). </w:t>
      </w:r>
      <w:r>
        <w:rPr>
          <w:sz w:val="20"/>
        </w:rPr>
        <w:t>U.S. Department of Health and Human Services. https://www.cms.gov/medicare-coverage-database/</w:t>
      </w:r>
    </w:p>
    <w:p>
      <w:pPr>
        <w:spacing w:after="120" w:before="0"/>
        <w:ind w:left="720" w:hanging="720"/>
      </w:pPr>
      <w:r>
        <w:rPr>
          <w:sz w:val="20"/>
        </w:rPr>
        <w:t xml:space="preserve">Centers for Medicare &amp; Medicaid Services. (2024). </w:t>
      </w:r>
      <w:r>
        <w:rPr>
          <w:i/>
          <w:sz w:val="20"/>
        </w:rPr>
        <w:t xml:space="preserve">National Correct Coding Initiative (NCCI) methodology. </w:t>
      </w:r>
      <w:r>
        <w:rPr>
          <w:sz w:val="20"/>
        </w:rPr>
        <w:t>https://www.cms.gov/medicare/coding-billing/national-correct-coding-initiative-ncci</w:t>
      </w:r>
    </w:p>
    <w:p>
      <w:pPr>
        <w:spacing w:after="120" w:before="0"/>
        <w:ind w:left="720" w:hanging="720"/>
      </w:pPr>
      <w:r>
        <w:rPr>
          <w:sz w:val="20"/>
        </w:rPr>
        <w:t xml:space="preserve">Code of Federal Regulations, 42 C.F.R. § 410.18. (2023). </w:t>
      </w:r>
      <w:r>
        <w:rPr>
          <w:i/>
          <w:sz w:val="20"/>
        </w:rPr>
        <w:t xml:space="preserve">Diabetes screening tests. </w:t>
      </w:r>
      <w:r>
        <w:rPr>
          <w:sz w:val="20"/>
        </w:rPr>
        <w:t>U.S. Government Publishing Office. https://www.ecfr.gov/</w:t>
      </w:r>
    </w:p>
    <w:p>
      <w:pPr>
        <w:spacing w:after="120" w:before="0"/>
        <w:ind w:left="720" w:hanging="720"/>
      </w:pPr>
      <w:r>
        <w:rPr>
          <w:sz w:val="20"/>
        </w:rPr>
        <w:t xml:space="preserve">Lewis, P., Perez, E., Piktus, A., Petroni, F., Karpukhin, V., Goyal, N., Küttler, H., Lewis, M., Yih, W., Rocktäschel, T., Riedel, S., &amp; Kiela, D. (2020). </w:t>
      </w:r>
      <w:r>
        <w:rPr>
          <w:i/>
          <w:sz w:val="20"/>
        </w:rPr>
        <w:t xml:space="preserve">Retrieval-augmented generation for knowledge-intensive NLP tasks. </w:t>
      </w:r>
      <w:r>
        <w:rPr>
          <w:sz w:val="20"/>
        </w:rPr>
        <w:t>Advances in Neural Information Processing Systems, 33, 9459–9474. https://arxiv.org/abs/2005.11401</w:t>
      </w:r>
    </w:p>
    <w:p>
      <w:pPr>
        <w:spacing w:after="120" w:before="0"/>
        <w:ind w:left="720" w:hanging="720"/>
      </w:pPr>
      <w:r>
        <w:rPr>
          <w:sz w:val="20"/>
        </w:rPr>
        <w:t xml:space="preserve">Mistral AI. (2024). </w:t>
      </w:r>
      <w:r>
        <w:rPr>
          <w:i/>
          <w:sz w:val="20"/>
        </w:rPr>
        <w:t xml:space="preserve">Mistral large model documentation. </w:t>
      </w:r>
      <w:r>
        <w:rPr>
          <w:sz w:val="20"/>
        </w:rPr>
        <w:t>https://docs.mistral.ai/getting-started/models/</w:t>
      </w:r>
    </w:p>
    <w:p>
      <w:pPr>
        <w:spacing w:after="120" w:before="0"/>
        <w:ind w:left="720" w:hanging="720"/>
      </w:pPr>
      <w:r>
        <w:rPr>
          <w:sz w:val="20"/>
        </w:rPr>
        <w:t xml:space="preserve">Hong, S., Zhuge, M., Chen, J., Zheng, X., Cheng, Y., Wang, J., Zhang, C., Wang, Z., Yau, S. K. S., Lin, Z., Zhou, L., Ran, C., Xiao, L., Wu, C., &amp; Schmidhuber, J. (2024). </w:t>
      </w:r>
      <w:r>
        <w:rPr>
          <w:i/>
          <w:sz w:val="20"/>
        </w:rPr>
        <w:t xml:space="preserve">MetaGPT: Meta programming for a multi-agent collaborative framework. </w:t>
      </w:r>
      <w:r>
        <w:rPr>
          <w:sz w:val="20"/>
        </w:rPr>
        <w:t>International Conference on Learning Representations (ICLR 2024). https://arxiv.org/abs/2308.00352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