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0"/>
        </w:rPr>
        <w:t>PolicyForge: Automated Healthcare Policy Extraction</w:t>
      </w:r>
    </w:p>
    <w:p>
      <w:pPr>
        <w:spacing w:after="80"/>
        <w:jc w:val="center"/>
      </w:pPr>
      <w:r>
        <w:rPr>
          <w:i/>
          <w:sz w:val="22"/>
        </w:rPr>
        <w:t>Content Management in Health Care: Converting Billing Policies into</w:t>
        <w:br/>
        <w:t>Executable Rules Using Large Language Models</w:t>
      </w:r>
    </w:p>
    <w:p>
      <w:pPr>
        <w:spacing w:after="200"/>
        <w:jc w:val="center"/>
      </w:pPr>
      <w:r>
        <w:rPr>
          <w:color w:val="555555"/>
          <w:sz w:val="20"/>
        </w:rPr>
        <w:t>Shristi Kumar  |  Cotiviti Intern Assessment  |  July 2026</w:t>
      </w:r>
    </w:p>
    <w:p>
      <w:pPr>
        <w:spacing w:after="160"/>
      </w:pPr>
      <w:r>
        <w:rPr>
          <w:color w:val="AAAAAA"/>
          <w:sz w:val="16"/>
        </w:rPr>
        <w:t>────────────────────────────────────────────────────────────────────────────────</w:t>
      </w:r>
    </w:p>
    <w:p>
      <w:pPr>
        <w:spacing w:before="80" w:after="80"/>
      </w:pPr>
      <w:r>
        <w:rPr>
          <w:b/>
          <w:color w:val="1F497D"/>
          <w:sz w:val="26"/>
        </w:rPr>
        <w:t>Abstract</w:t>
      </w:r>
    </w:p>
    <w:p>
      <w:pPr>
        <w:spacing w:after="120" w:before="0"/>
      </w:pPr>
      <w:r>
        <w:rPr>
          <w:i w:val="0"/>
          <w:sz w:val="22"/>
        </w:rPr>
        <w:t>This report presents PolicyForge, a proof-of-concept system that automates extraction of Medicare billing rules from National Coverage Determinations (NCDs) and Code of Federal Regulations (CFRs). The system uses a six-agent LLM pipeline with hybrid retrieval (BM25 + FAISS) to convert unstructured policy text into structured HCPCS codes and frequency limits, then applies those rules to flag high-utilization providers in CMS Part B data. We evaluated the system on 15 real CMS policies with hand-labeled gold standards, achieving 98.2% mean F1 on code extraction and 96.4% weighted F1 when scored by clinical severity. The project demonstrates that LLM-based policy extraction can reduce analyst time from 45 minutes to 8 seconds per policy (15× cost reduction), but also shows why human review remains necessary for high-risk cancer-screening policies.</w:t>
      </w:r>
    </w:p>
    <w:p>
      <w:pPr>
        <w:spacing w:before="80" w:after="80"/>
      </w:pPr>
      <w:r>
        <w:rPr>
          <w:b/>
          <w:color w:val="1F497D"/>
          <w:sz w:val="26"/>
        </w:rPr>
        <w:t>1. Industry Relevance</w:t>
      </w:r>
    </w:p>
    <w:p>
      <w:pPr>
        <w:spacing w:after="100" w:before="0"/>
      </w:pPr>
      <w:r>
        <w:rPr>
          <w:i w:val="0"/>
          <w:sz w:val="22"/>
        </w:rPr>
        <w:t>For companies like Cotiviti that support payer audit and payment integrity programs, healthcare content management is a core operational bottleneck. Every Medicare policy update must be translated into executable logic: which HCPCS/CPT codes are covered, how often services may be billed, and which patient populations qualify. Today this work is done manually by medical policy analysts at roughly 45 minutes and $56 per policy. With CMS issuing over 1,200 coverage updates annually, manual extraction does not scale and introduces inconsistency across audit teams.</w:t>
      </w:r>
    </w:p>
    <w:p>
      <w:pPr>
        <w:spacing w:after="100" w:before="0"/>
      </w:pPr>
      <w:r>
        <w:rPr>
          <w:i w:val="0"/>
          <w:sz w:val="22"/>
        </w:rPr>
        <w:t>The industry need is not simply faster document reading. Payers need repeatable, auditable rules that can be applied to claims data at scale. PolicyForge addresses this by connecting policy ingestion directly to provider-level utilization analysis, so extracted rules can immediately support audit triage rather than sitting in static spreadsheets.</w:t>
      </w:r>
    </w:p>
    <w:p>
      <w:pPr>
        <w:spacing w:before="80" w:after="80"/>
      </w:pPr>
      <w:r>
        <w:rPr>
          <w:b/>
          <w:color w:val="1F497D"/>
          <w:sz w:val="26"/>
        </w:rPr>
        <w:t>2. Methodology</w:t>
      </w:r>
    </w:p>
    <w:p>
      <w:pPr>
        <w:spacing w:after="60" w:before="0"/>
      </w:pPr>
      <w:r>
        <w:rPr>
          <w:i w:val="0"/>
          <w:sz w:val="22"/>
        </w:rPr>
        <w:t>We built PolicyForge as an end-to-end pipeline with four stages:</w:t>
      </w:r>
    </w:p>
    <w:p>
      <w:pPr>
        <w:pStyle w:val="ListBullet"/>
        <w:spacing w:after="60" w:before="0"/>
      </w:pPr>
      <w:r>
        <w:rPr>
          <w:sz w:val="22"/>
        </w:rPr>
        <w:t>Data collection. We sourced 15 real Medicare policies from CMS.gov and eCFR, spanning cancer screening (colorectal, mammography, lung), cardiovascular and metabolic screening, and behavioral health programs.</w:t>
      </w:r>
    </w:p>
    <w:p>
      <w:pPr>
        <w:pStyle w:val="ListBullet"/>
        <w:spacing w:after="60" w:before="0"/>
      </w:pPr>
      <w:r>
        <w:rPr>
          <w:sz w:val="22"/>
        </w:rPr>
        <w:t>Policy extraction. A LangGraph orchestration runs six agents in sequence: Retriever (hybrid RAG over policy text), Extractor (Mistral-large with structured JSON output), Critic (completeness check), Compiler (policy-to-code translation), Adjudicator (statistical outlier detection), and Explainer (audit memo generation).</w:t>
      </w:r>
    </w:p>
    <w:p>
      <w:pPr>
        <w:pStyle w:val="ListBullet"/>
        <w:spacing w:after="60" w:before="0"/>
      </w:pPr>
      <w:r>
        <w:rPr>
          <w:sz w:val="22"/>
        </w:rPr>
        <w:t>Evaluation. We created manual gold standards by reading each policy document and recording expected HCPCS codes and frequency limits. LLM outputs were scored with precision, recall, and F1 against these gold standards. We also classified policies by clinical severity (Tier 1: cancer; Tier 2: CVD/metabolic; Tier 3: routine) to compute a weighted F1 that reflects patient-harm risk.</w:t>
      </w:r>
    </w:p>
    <w:p>
      <w:pPr>
        <w:pStyle w:val="ListBullet"/>
        <w:spacing w:after="60" w:before="0"/>
      </w:pPr>
      <w:r>
        <w:rPr>
          <w:sz w:val="22"/>
        </w:rPr>
        <w:t>Utilization analysis. Extracted rules were applied to a CMS Part B provider summary dataset (21,521 providers). Providers exceeding mean + 2 standard deviations on services-per-beneficiary were flagged for audit review.</w:t>
      </w:r>
    </w:p>
    <w:p>
      <w:pPr>
        <w:spacing w:after="100" w:before="0"/>
      </w:pPr>
      <w:r>
        <w:rPr>
          <w:i w:val="0"/>
          <w:sz w:val="22"/>
        </w:rPr>
        <w:t>To improve extraction quality, we iterated on three technical levers: extending LLM context from 4K to 12K characters, adding few-shot examples of correct extractions, and splitting extraction into separate passes for codes and frequency limits.</w:t>
      </w:r>
    </w:p>
    <w:p>
      <w:r>
        <w:br w:type="page"/>
      </w:r>
    </w:p>
    <w:p>
      <w:pPr>
        <w:spacing w:before="80" w:after="80"/>
      </w:pPr>
      <w:r>
        <w:rPr>
          <w:b/>
          <w:color w:val="1F497D"/>
          <w:sz w:val="26"/>
        </w:rPr>
        <w:t>3. Results and Output</w:t>
      </w:r>
    </w:p>
    <w:p>
      <w:pPr>
        <w:spacing w:after="60" w:before="0"/>
      </w:pPr>
      <w:r>
        <w:rPr>
          <w:i w:val="0"/>
          <w:sz w:val="22"/>
        </w:rPr>
        <w:t>Table 1 summarizes the primary outputs of the proof of concept.</w:t>
      </w:r>
    </w:p>
    <w:p>
      <w:pPr>
        <w:pStyle w:val="ListBullet"/>
        <w:spacing w:after="60" w:before="0"/>
      </w:pPr>
      <w:r>
        <w:rPr>
          <w:sz w:val="22"/>
        </w:rPr>
        <w:t>Extraction accuracy: 98.2% mean HCPCS F1 across 15 policies; 14 of 15 policies at F1 ≥ 0.9.</w:t>
      </w:r>
    </w:p>
    <w:p>
      <w:pPr>
        <w:pStyle w:val="ListBullet"/>
        <w:spacing w:after="60" w:before="0"/>
      </w:pPr>
      <w:r>
        <w:rPr>
          <w:sz w:val="22"/>
        </w:rPr>
        <w:t>Clinical-weighted accuracy: 96.4% weighted F1 when cancer-screening policies receive higher weight than routine behavioral health policies.</w:t>
      </w:r>
    </w:p>
    <w:p>
      <w:pPr>
        <w:pStyle w:val="ListBullet"/>
        <w:spacing w:after="60" w:before="0"/>
      </w:pPr>
      <w:r>
        <w:rPr>
          <w:sz w:val="22"/>
        </w:rPr>
        <w:t>Operational efficiency: 8 seconds and $3.75 per policy (including review time) vs. 45 minutes and $56.25 for fully manual extraction.</w:t>
      </w:r>
    </w:p>
    <w:p>
      <w:pPr>
        <w:pStyle w:val="ListBullet"/>
        <w:spacing w:after="60" w:before="0"/>
      </w:pPr>
      <w:r>
        <w:rPr>
          <w:sz w:val="22"/>
        </w:rPr>
        <w:t>Audit triage output: 389 of 21,521 providers (1.8%) flagged as statistical outliers, replacing an initial broken baseline that flagged 100% of providers.</w:t>
      </w:r>
    </w:p>
    <w:p>
      <w:pPr>
        <w:pStyle w:val="ListBullet"/>
        <w:spacing w:after="60" w:before="0"/>
      </w:pPr>
      <w:r>
        <w:rPr>
          <w:sz w:val="22"/>
        </w:rPr>
        <w:t>Structured deliverables: JSON extraction files per policy, evaluation reports, and a reproducible GitHub repository with source code and gold standards.</w:t>
      </w:r>
    </w:p>
    <w:p>
      <w:pPr>
        <w:spacing w:after="100" w:before="0"/>
      </w:pPr>
      <w:r>
        <w:rPr>
          <w:i w:val="0"/>
          <w:sz w:val="22"/>
        </w:rPr>
        <w:t>Performance was not uniform across all policy types. Tier 2 and Tier 3 policies (cardiovascular, diabetes, depression, obesity) reached 100% F1. Tier 1 cancer screening averaged 93.3%, with NCD 210.3 (colorectal screening) remaining at 80% F1 because two of eleven HCPCS codes were still missed after iterative improvement. This gap matters clinically: missing colonoscopy codes could lead to incorrect claim denials and delayed screening.</w:t>
      </w:r>
    </w:p>
    <w:p>
      <w:pPr>
        <w:spacing w:before="80" w:after="80"/>
      </w:pPr>
      <w:r>
        <w:rPr>
          <w:b/>
          <w:color w:val="1F497D"/>
          <w:sz w:val="26"/>
        </w:rPr>
        <w:t>4. Implications for Cotiviti</w:t>
      </w:r>
    </w:p>
    <w:p>
      <w:pPr>
        <w:spacing w:after="100" w:before="0"/>
      </w:pPr>
      <w:r>
        <w:rPr>
          <w:i w:val="0"/>
          <w:sz w:val="22"/>
        </w:rPr>
        <w:t>The results support a staged adoption path rather than a single go/no-go decision on full automation. In the near term, PolicyForge is best positioned as a policy ingestion and audit-prioritization tool: analysts use LLM extraction to draft rules quickly, then review flagged providers rather than reviewing the entire provider population. This preserves human oversight where clinical risk is highest while still capturing most of the 15× efficiency gain.</w:t>
      </w:r>
    </w:p>
    <w:p>
      <w:pPr>
        <w:spacing w:after="100" w:before="0"/>
      </w:pPr>
      <w:r>
        <w:rPr>
          <w:i w:val="0"/>
          <w:sz w:val="22"/>
        </w:rPr>
        <w:t>Broader industry trends reinforce this approach. LLM accuracy on regulatory text is now strong enough for triage but not yet sufficient for unsupervised adjudication on life-critical policies. Regulatory requirements (CMS audit trails, potential FDA review of clinical decision support tools) also favor human-in-the-loop deployment. The immediate opportunity for Cotiviti is to reduce policy analyst workload and narrow audit scope to high-risk providers. The longer-term opportunity is hybrid automation on lower-risk policy tiers once independent validation (NCCI cross-check, second medical coder review) confirms extraction quality.</w:t>
      </w:r>
    </w:p>
    <w:p>
      <w:pPr>
        <w:spacing w:after="100" w:before="0"/>
      </w:pPr>
      <w:r>
        <w:rPr>
          <w:i w:val="0"/>
          <w:sz w:val="22"/>
        </w:rPr>
        <w:t>Key risks to manage include self-validation bias (gold standards created by the same team that built the system), residual errors on complex multi-code policies like colorectal screening, and the need for confidence scoring so uncertain extractions route automatically to expert review.</w:t>
      </w:r>
    </w:p>
    <w:p>
      <w:pPr>
        <w:spacing w:before="80" w:after="80"/>
      </w:pPr>
      <w:r>
        <w:rPr>
          <w:b/>
          <w:color w:val="1F497D"/>
          <w:sz w:val="26"/>
        </w:rPr>
        <w:t>5. Conclusion</w:t>
      </w:r>
    </w:p>
    <w:p>
      <w:pPr>
        <w:spacing w:after="120" w:before="0"/>
      </w:pPr>
      <w:r>
        <w:rPr>
          <w:i w:val="0"/>
          <w:sz w:val="22"/>
        </w:rPr>
        <w:t>PolicyForge shows that multi-agent LLM orchestration can convert Medicare policy documents into structured, data-ready rules at scale. The proof of concept is technically sound (98.2% mean F1), operationally relevant (1.8% targeted audit rate), and economically justified (15× cost reduction). The honest limitation is clinical: high-stakes screening policies still require human validation before any automated denial logic. For Cotiviti, the strategic value is using AI to accelerate content management and focus expert reviewers where patient impact is greatest, not replacing those reviewers entirely.</w:t>
      </w:r>
    </w:p>
    <w:p>
      <w:r>
        <w:br w:type="page"/>
      </w:r>
    </w:p>
    <w:p>
      <w:pPr>
        <w:spacing w:before="80" w:after="160"/>
      </w:pPr>
      <w:r>
        <w:rPr>
          <w:b/>
          <w:color w:val="1F497D"/>
          <w:sz w:val="26"/>
        </w:rPr>
        <w:t>References</w:t>
      </w:r>
    </w:p>
    <w:p>
      <w:pPr>
        <w:spacing w:after="120" w:before="0"/>
        <w:ind w:left="720" w:hanging="720"/>
      </w:pPr>
      <w:r>
        <w:rPr>
          <w:sz w:val="20"/>
        </w:rPr>
        <w:t xml:space="preserve">Centers for Medicare &amp; Medicaid Services. (2023). </w:t>
      </w:r>
      <w:r>
        <w:rPr>
          <w:i/>
          <w:sz w:val="20"/>
        </w:rPr>
        <w:t xml:space="preserve">National coverage determinations (NCD) manual (Pub. 100-3). </w:t>
      </w:r>
      <w:r>
        <w:rPr>
          <w:sz w:val="20"/>
        </w:rPr>
        <w:t>U.S. Department of Health and Human Services. https://www.cms.gov/medicare-coverage-database/</w:t>
      </w:r>
    </w:p>
    <w:p>
      <w:pPr>
        <w:spacing w:after="120" w:before="0"/>
        <w:ind w:left="720" w:hanging="720"/>
      </w:pPr>
      <w:r>
        <w:rPr>
          <w:sz w:val="20"/>
        </w:rPr>
        <w:t xml:space="preserve">Centers for Medicare &amp; Medicaid Services. (2024). </w:t>
      </w:r>
      <w:r>
        <w:rPr>
          <w:i/>
          <w:sz w:val="20"/>
        </w:rPr>
        <w:t xml:space="preserve">National Correct Coding Initiative (NCCI) methodology. </w:t>
      </w:r>
      <w:r>
        <w:rPr>
          <w:sz w:val="20"/>
        </w:rPr>
        <w:t>https://www.cms.gov/medicare/coding-billing/national-correct-coding-initiative-ncci</w:t>
      </w:r>
    </w:p>
    <w:p>
      <w:pPr>
        <w:spacing w:after="120" w:before="0"/>
        <w:ind w:left="720" w:hanging="720"/>
      </w:pPr>
      <w:r>
        <w:rPr>
          <w:sz w:val="20"/>
        </w:rPr>
        <w:t xml:space="preserve">Code of Federal Regulations, 42 C.F.R. § 410.18. (2023). </w:t>
      </w:r>
      <w:r>
        <w:rPr>
          <w:i/>
          <w:sz w:val="20"/>
        </w:rPr>
        <w:t xml:space="preserve">Diabetes screening tests. </w:t>
      </w:r>
      <w:r>
        <w:rPr>
          <w:sz w:val="20"/>
        </w:rPr>
        <w:t>U.S. Government Publishing Office. https://www.ecfr.gov/</w:t>
      </w:r>
    </w:p>
    <w:p>
      <w:pPr>
        <w:spacing w:after="120" w:before="0"/>
        <w:ind w:left="720" w:hanging="720"/>
      </w:pPr>
      <w:r>
        <w:rPr>
          <w:sz w:val="20"/>
        </w:rPr>
        <w:t xml:space="preserve">Lewis, P., Perez, E., Piktus, A., Petroni, F., Karpukhin, V., Goyal, N., Küttler, H., Lewis, M., Yih, W., Rocktäschel, T., Riedel, S., &amp; Kiela, D. (2020). </w:t>
      </w:r>
      <w:r>
        <w:rPr>
          <w:i/>
          <w:sz w:val="20"/>
        </w:rPr>
        <w:t xml:space="preserve">Retrieval-augmented generation for knowledge-intensive NLP tasks. </w:t>
      </w:r>
      <w:r>
        <w:rPr>
          <w:sz w:val="20"/>
        </w:rPr>
        <w:t>Advances in Neural Information Processing Systems, 33, 9459–9474. https://arxiv.org/abs/2005.11401</w:t>
      </w:r>
    </w:p>
    <w:p>
      <w:pPr>
        <w:spacing w:after="120" w:before="0"/>
        <w:ind w:left="720" w:hanging="720"/>
      </w:pPr>
      <w:r>
        <w:rPr>
          <w:sz w:val="20"/>
        </w:rPr>
        <w:t xml:space="preserve">Mistral AI. (2024). </w:t>
      </w:r>
      <w:r>
        <w:rPr>
          <w:i/>
          <w:sz w:val="20"/>
        </w:rPr>
        <w:t xml:space="preserve">Mistral large model documentation. </w:t>
      </w:r>
      <w:r>
        <w:rPr>
          <w:sz w:val="20"/>
        </w:rPr>
        <w:t>https://docs.mistral.ai/getting-started/models/</w:t>
      </w:r>
    </w:p>
    <w:p>
      <w:pPr>
        <w:spacing w:after="120" w:before="0"/>
        <w:ind w:left="720" w:hanging="720"/>
      </w:pPr>
      <w:r>
        <w:rPr>
          <w:sz w:val="20"/>
        </w:rPr>
        <w:t xml:space="preserve">Hong, S., Zhuge, M., Chen, J., Zheng, X., Cheng, Y., Wang, J., Zhang, C., Wang, Z., Yau, S. K. S., Lin, Z., Zhou, L., Ran, C., Xiao, L., Wu, C., &amp; Schmidhuber, J. (2024). </w:t>
      </w:r>
      <w:r>
        <w:rPr>
          <w:i/>
          <w:sz w:val="20"/>
        </w:rPr>
        <w:t xml:space="preserve">MetaGPT: Meta programming for a multi-agent collaborative framework. </w:t>
      </w:r>
      <w:r>
        <w:rPr>
          <w:sz w:val="20"/>
        </w:rPr>
        <w:t>International Conference on Learning Representations (ICLR 2024). https://arxiv.org/abs/2308.00352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