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jc w:val="center"/>
      </w:pPr>
      <w:r>
        <w:rPr>
          <w:b/>
        </w:rPr>
        <w:t>Care Transition Efficiency &amp; Placement Outcome Analytics</w:t>
      </w:r>
    </w:p>
    <w:p>
      <w:pPr>
        <w:jc w:val="center"/>
      </w:pPr>
      <w:r>
        <w:t>Prepared for: U.S. Department of Health &amp; Human Services</w:t>
      </w:r>
    </w:p>
    <w:p>
      <w:pPr>
        <w:jc w:val="center"/>
      </w:pPr>
      <w:r>
        <w:t>Unified Mentor Project | 2025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Purpose</w:t>
      </w:r>
    </w:p>
    <w:p>
      <w:r>
        <w:t>This report presents a data-driven analysis of the Unaccompanied Alien Children (UAC) care pipeline. The goal is to evaluate how efficiently children move through CBP custody, HHS care, and sponsor placement — and to identify where delays and bottlenecks occur.</w:t>
      </w:r>
    </w:p>
    <w:p>
      <w:pPr>
        <w:pStyle w:val="Heading1"/>
      </w:pPr>
      <w:r>
        <w:t>Key Findings</w:t>
      </w:r>
    </w:p>
    <w:p>
      <w:r>
        <w:t>• Transfer Efficiency (CBP → HHS): 69.10% average — indicating room for improvement in transfer speed.</w:t>
      </w:r>
    </w:p>
    <w:p>
      <w:r>
        <w:t>• Discharge Effectiveness: 2.37% average — sponsor placements are below optimal levels.</w:t>
      </w:r>
    </w:p>
    <w:p>
      <w:r>
        <w:t>• Average Daily Backlog: 80 children remain unplaced each day.</w:t>
      </w:r>
    </w:p>
    <w:p>
      <w:r>
        <w:t>• Peak bottlenecks were observed during high inflow periods — system struggled to maintain discharge pace.</w:t>
      </w:r>
    </w:p>
    <w:p>
      <w:r>
        <w:t>• Weekday transitions are faster than weekend — staffing gaps exist on weekends.</w:t>
      </w:r>
    </w:p>
    <w:p>
      <w:pPr>
        <w:pStyle w:val="Heading1"/>
      </w:pPr>
      <w:r>
        <w:t>Key Performance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Transfer Efficiency</w:t>
            </w:r>
          </w:p>
        </w:tc>
        <w:tc>
          <w:tcPr>
            <w:tcW w:type="dxa" w:w="4320"/>
          </w:tcPr>
          <w:p>
            <w:r>
              <w:t>69.10%</w:t>
            </w:r>
          </w:p>
        </w:tc>
      </w:tr>
      <w:tr>
        <w:tc>
          <w:tcPr>
            <w:tcW w:type="dxa" w:w="4320"/>
          </w:tcPr>
          <w:p>
            <w:r>
              <w:t>Discharge Effectiveness</w:t>
            </w:r>
          </w:p>
        </w:tc>
        <w:tc>
          <w:tcPr>
            <w:tcW w:type="dxa" w:w="4320"/>
          </w:tcPr>
          <w:p>
            <w:r>
              <w:t>2.37%</w:t>
            </w:r>
          </w:p>
        </w:tc>
      </w:tr>
      <w:tr>
        <w:tc>
          <w:tcPr>
            <w:tcW w:type="dxa" w:w="4320"/>
          </w:tcPr>
          <w:p>
            <w:r>
              <w:t>Avg Daily Backlog</w:t>
            </w:r>
          </w:p>
        </w:tc>
        <w:tc>
          <w:tcPr>
            <w:tcW w:type="dxa" w:w="4320"/>
          </w:tcPr>
          <w:p>
            <w:r>
              <w:t>80 children</w:t>
            </w:r>
          </w:p>
        </w:tc>
      </w:tr>
      <w:tr>
        <w:tc>
          <w:tcPr>
            <w:tcW w:type="dxa" w:w="4320"/>
          </w:tcPr>
          <w:p>
            <w:r>
              <w:t>Total Records Analyzed</w:t>
            </w:r>
          </w:p>
        </w:tc>
        <w:tc>
          <w:tcPr>
            <w:tcW w:type="dxa" w:w="4320"/>
          </w:tcPr>
          <w:p>
            <w:r>
              <w:t>720</w:t>
            </w:r>
          </w:p>
        </w:tc>
      </w:tr>
      <w:tr>
        <w:tc>
          <w:tcPr>
            <w:tcW w:type="dxa" w:w="4320"/>
          </w:tcPr>
          <w:p>
            <w:r>
              <w:t>Date Range</w:t>
            </w:r>
          </w:p>
        </w:tc>
        <w:tc>
          <w:tcPr>
            <w:tcW w:type="dxa" w:w="4320"/>
          </w:tcPr>
          <w:p>
            <w:r>
              <w:t>2023-01-12 to 2025-12-21</w:t>
            </w:r>
          </w:p>
        </w:tc>
      </w:tr>
    </w:tbl>
    <w:p/>
    <w:p>
      <w:pPr>
        <w:pStyle w:val="Heading1"/>
      </w:pPr>
      <w:r>
        <w:t>Recommendations</w:t>
      </w:r>
    </w:p>
    <w:p>
      <w:r>
        <w:t>• Increase weekend staffing to reduce transition delays.</w:t>
      </w:r>
    </w:p>
    <w:p>
      <w:r>
        <w:t>• Implement daily backlog monitoring alerts.</w:t>
      </w:r>
    </w:p>
    <w:p>
      <w:r>
        <w:t>• Accelerate CBP to HHS transfer protocols during peak periods.</w:t>
      </w:r>
    </w:p>
    <w:p>
      <w:r>
        <w:t>• Expand HHS discharge capacity to match inflow rates.</w:t>
      </w:r>
    </w:p>
    <w:p>
      <w:r>
        <w:t>• Use data-driven dashboards for real-time pipeline monitoring.</w:t>
      </w:r>
    </w:p>
    <w:p>
      <w:pPr>
        <w:pStyle w:val="Heading1"/>
      </w:pPr>
      <w:r>
        <w:t>Conclusion</w:t>
      </w:r>
    </w:p>
    <w:p>
      <w:r>
        <w:t>The UAC care pipeline requires immediate process improvements to reduce child custody durations and improve placement outcomes. Data analytics provides a clear path forward — enabling faster reunification, reduced backlogs, and stronger child welfare outcomes.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t>Unified Mentor | UAC Analytics Project |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