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color w:val="0071E3"/>
          <w:sz w:val="48"/>
        </w:rPr>
        <w:t>Apple Customer Support Assistant</w:t>
      </w:r>
    </w:p>
    <w:p>
      <w:pPr>
        <w:spacing w:after="320"/>
      </w:pPr>
      <w:r>
        <w:rPr>
          <w:rFonts w:ascii="Arial" w:hAnsi="Arial"/>
          <w:i/>
          <w:color w:val="6E6E73"/>
          <w:sz w:val="22"/>
        </w:rPr>
        <w:t>Hiver SDE Intern Take-Home Assignment Technical Report</w:t>
        <w:br/>
        <w:t>Author: Shriya Mohanty | Repository: https://github.com/shriya-0802/Hiver-SDE-Intern-Assignment.git</w:t>
      </w:r>
    </w:p>
    <w:p>
      <w:pPr>
        <w:pStyle w:val="Heading1"/>
        <w:spacing w:before="320" w:after="120"/>
      </w:pPr>
      <w:r>
        <w:rPr>
          <w:rFonts w:ascii="Arial" w:hAnsi="Arial"/>
          <w:b/>
          <w:color w:val="0071E3"/>
          <w:sz w:val="28"/>
        </w:rPr>
        <w:t>1. Executive Summary, Architecture, and Quick Start</w:t>
      </w:r>
    </w:p>
    <w:p>
      <w:pPr>
        <w:spacing w:before="60" w:after="100"/>
      </w:pPr>
      <w:r>
        <w:rPr>
          <w:rFonts w:ascii="Arial" w:hAnsi="Arial"/>
          <w:color w:val="1D1D1F"/>
          <w:sz w:val="20"/>
        </w:rPr>
        <w:t>This project is an end-to-end customer support automation system built specifically for Apple customer interactions (@AppleSupport). The system combines multi-intent classification, Retrieval-Augmented Generation (RAG) using historical Apple interaction data, a 4-tier risk escalation guardrail engine, an admin specialist review console, and an automated LLM-as-Judge evaluation harness.</w:t>
      </w:r>
    </w:p>
    <w:p>
      <w:pPr>
        <w:pStyle w:val="Heading2"/>
        <w:spacing w:before="240" w:after="80"/>
      </w:pPr>
      <w:r>
        <w:rPr>
          <w:rFonts w:ascii="Arial" w:hAnsi="Arial"/>
          <w:b/>
          <w:color w:val="1D1D1F"/>
          <w:sz w:val="24"/>
        </w:rPr>
        <w:t>System Architecture Flow</w:t>
      </w:r>
    </w:p>
    <w:p>
      <w:pPr>
        <w:spacing w:before="60" w:after="100"/>
      </w:pPr>
      <w:r>
        <w:rPr>
          <w:rFonts w:ascii="Arial" w:hAnsi="Arial"/>
          <w:color w:val="1D1D1F"/>
          <w:sz w:val="20"/>
        </w:rPr>
        <w:t>+----------------------------------+</w:t>
      </w:r>
    </w:p>
    <w:tbl>
      <w:tblPr>
        <w:tblW w:type="auto" w:w="0"/>
        <w:jc w:val="center"/>
        <w:tblLook w:firstColumn="1" w:firstRow="1" w:lastColumn="0" w:lastRow="0" w:noHBand="0" w:noVBand="1" w:val="04A0"/>
      </w:tblPr>
      <w:tblGrid>
        <w:gridCol w:w="9360"/>
      </w:tblGrid>
      <w:tr>
        <w:tc>
          <w:tcPr>
            <w:tcW w:type="dxa" w:w="9360"/>
            <w:shd w:val="clear" w:color="auto" w:fill="0071E3"/>
          </w:tcPr>
          <w:p>
            <w:pPr>
              <w:spacing w:before="80" w:after="80"/>
            </w:pPr>
            <w:r>
              <w:rPr>
                <w:rFonts w:ascii="Arial" w:hAnsi="Arial"/>
                <w:b/>
                <w:color w:val="FFFFFF"/>
                <w:sz w:val="19"/>
              </w:rPr>
              <w:t>Incoming Customer Query</w:t>
            </w:r>
          </w:p>
        </w:tc>
      </w:tr>
    </w:tbl>
    <w:p/>
    <w:p>
      <w:pPr>
        <w:spacing w:before="60" w:after="100"/>
      </w:pPr>
      <w:r>
        <w:rPr>
          <w:rFonts w:ascii="Arial" w:hAnsi="Arial"/>
          <w:color w:val="1D1D1F"/>
          <w:sz w:val="20"/>
        </w:rPr>
        <w:t>+----------------+-----------------+</w:t>
      </w:r>
    </w:p>
    <w:tbl>
      <w:tblPr>
        <w:tblW w:type="auto" w:w="0"/>
        <w:jc w:val="center"/>
        <w:tblLook w:firstColumn="1" w:firstRow="1" w:lastColumn="0" w:lastRow="0" w:noHBand="0" w:noVBand="1" w:val="04A0"/>
      </w:tblPr>
      <w:tblGrid>
  </w:tblGrid>
      <w:tr>
  </w:tr>
    </w:tbl>
    <w:p/>
    <w:p>
      <w:pPr>
        <w:spacing w:before="60" w:after="100"/>
      </w:pPr>
      <w:r>
        <w:rPr>
          <w:rFonts w:ascii="Arial" w:hAnsi="Arial"/>
          <w:color w:val="1D1D1F"/>
          <w:sz w:val="20"/>
        </w:rPr>
        <w:t>v</w:t>
      </w:r>
    </w:p>
    <w:p>
      <w:pPr>
        <w:spacing w:before="60" w:after="100"/>
      </w:pPr>
      <w:r>
        <w:rPr>
          <w:rFonts w:ascii="Arial" w:hAnsi="Arial"/>
          <w:color w:val="1D1D1F"/>
          <w:sz w:val="20"/>
        </w:rPr>
        <w:t>+----------------------------------+</w:t>
      </w:r>
    </w:p>
    <w:tbl>
      <w:tblPr>
        <w:tblW w:type="auto" w:w="0"/>
        <w:jc w:val="center"/>
        <w:tblLook w:firstColumn="1" w:firstRow="1" w:lastColumn="0" w:lastRow="0" w:noHBand="0" w:noVBand="1" w:val="04A0"/>
      </w:tblPr>
      <w:tblGrid>
        <w:gridCol w:w="9360"/>
      </w:tblGrid>
      <w:tr>
        <w:tc>
          <w:tcPr>
            <w:tcW w:type="dxa" w:w="9360"/>
            <w:shd w:val="clear" w:color="auto" w:fill="0071E3"/>
          </w:tcPr>
          <w:p>
            <w:pPr>
              <w:spacing w:before="80" w:after="80"/>
            </w:pPr>
            <w:r>
              <w:rPr>
                <w:rFonts w:ascii="Arial" w:hAnsi="Arial"/>
                <w:b/>
                <w:color w:val="FFFFFF"/>
                <w:sz w:val="19"/>
              </w:rPr>
              <w:t>1. Intent Classification Engine</w:t>
            </w:r>
          </w:p>
        </w:tc>
      </w:tr>
      <w:tr>
        <w:tc>
          <w:tcPr>
            <w:tcW w:type="dxa" w:w="9360"/>
            <w:shd w:val="clear" w:color="auto" w:fill="F5F5F7"/>
          </w:tcPr>
          <w:p>
            <w:pPr>
              <w:spacing w:before="80" w:after="80"/>
            </w:pPr>
            <w:r>
              <w:rPr>
                <w:rFonts w:ascii="Arial" w:hAnsi="Arial"/>
                <w:color w:val="1D1D1F"/>
                <w:sz w:val="19"/>
              </w:rPr>
              <w:t>(7 Taxonomy Classes + Conf %)</w:t>
            </w:r>
          </w:p>
        </w:tc>
      </w:tr>
    </w:tbl>
    <w:p/>
    <w:p>
      <w:pPr>
        <w:spacing w:before="60" w:after="100"/>
      </w:pPr>
      <w:r>
        <w:rPr>
          <w:rFonts w:ascii="Arial" w:hAnsi="Arial"/>
          <w:color w:val="1D1D1F"/>
          <w:sz w:val="20"/>
        </w:rPr>
        <w:t>+----------------+-----------------+</w:t>
      </w:r>
    </w:p>
    <w:tbl>
      <w:tblPr>
        <w:tblW w:type="auto" w:w="0"/>
        <w:jc w:val="center"/>
        <w:tblLook w:firstColumn="1" w:firstRow="1" w:lastColumn="0" w:lastRow="0" w:noHBand="0" w:noVBand="1" w:val="04A0"/>
      </w:tblPr>
      <w:tblGrid>
  </w:tblGrid>
      <w:tr>
  </w:tr>
    </w:tbl>
    <w:p/>
    <w:p>
      <w:pPr>
        <w:spacing w:before="60" w:after="100"/>
      </w:pPr>
      <w:r>
        <w:rPr>
          <w:rFonts w:ascii="Arial" w:hAnsi="Arial"/>
          <w:color w:val="1D1D1F"/>
          <w:sz w:val="20"/>
        </w:rPr>
        <w:t>v</w:t>
      </w:r>
    </w:p>
    <w:p>
      <w:pPr>
        <w:spacing w:before="60" w:after="100"/>
      </w:pPr>
      <w:r>
        <w:rPr>
          <w:rFonts w:ascii="Arial" w:hAnsi="Arial"/>
          <w:color w:val="1D1D1F"/>
          <w:sz w:val="20"/>
        </w:rPr>
        <w:t>+----------------------------------+</w:t>
      </w:r>
    </w:p>
    <w:tbl>
      <w:tblPr>
        <w:tblW w:type="auto" w:w="0"/>
        <w:jc w:val="center"/>
        <w:tblLook w:firstColumn="1" w:firstRow="1" w:lastColumn="0" w:lastRow="0" w:noHBand="0" w:noVBand="1" w:val="04A0"/>
      </w:tblPr>
      <w:tblGrid>
        <w:gridCol w:w="9360"/>
      </w:tblGrid>
      <w:tr>
        <w:tc>
          <w:tcPr>
            <w:tcW w:type="dxa" w:w="9360"/>
            <w:shd w:val="clear" w:color="auto" w:fill="0071E3"/>
          </w:tcPr>
          <w:p>
            <w:pPr>
              <w:spacing w:before="80" w:after="80"/>
            </w:pPr>
            <w:r>
              <w:rPr>
                <w:rFonts w:ascii="Arial" w:hAnsi="Arial"/>
                <w:b/>
                <w:color w:val="FFFFFF"/>
                <w:sz w:val="19"/>
              </w:rPr>
              <w:t>2. RAG Context Retrieval Store</w:t>
            </w:r>
          </w:p>
        </w:tc>
      </w:tr>
      <w:tr>
        <w:tc>
          <w:tcPr>
            <w:tcW w:type="dxa" w:w="9360"/>
            <w:shd w:val="clear" w:color="auto" w:fill="F5F5F7"/>
          </w:tcPr>
          <w:p>
            <w:pPr>
              <w:spacing w:before="80" w:after="80"/>
            </w:pPr>
            <w:r>
              <w:rPr>
                <w:rFonts w:ascii="Arial" w:hAnsi="Arial"/>
                <w:color w:val="1D1D1F"/>
                <w:sz w:val="19"/>
              </w:rPr>
              <w:t>(TF-IDF Vector Similarity)</w:t>
            </w:r>
          </w:p>
        </w:tc>
      </w:tr>
    </w:tbl>
    <w:p/>
    <w:p>
      <w:pPr>
        <w:spacing w:before="60" w:after="100"/>
      </w:pPr>
      <w:r>
        <w:rPr>
          <w:rFonts w:ascii="Arial" w:hAnsi="Arial"/>
          <w:color w:val="1D1D1F"/>
          <w:sz w:val="20"/>
        </w:rPr>
        <w:t>+----------------+-----------------+</w:t>
      </w:r>
    </w:p>
    <w:tbl>
      <w:tblPr>
        <w:tblW w:type="auto" w:w="0"/>
        <w:jc w:val="center"/>
        <w:tblLook w:firstColumn="1" w:firstRow="1" w:lastColumn="0" w:lastRow="0" w:noHBand="0" w:noVBand="1" w:val="04A0"/>
      </w:tblPr>
      <w:tblGrid>
  </w:tblGrid>
      <w:tr>
  </w:tr>
    </w:tbl>
    <w:p/>
    <w:p>
      <w:pPr>
        <w:spacing w:before="60" w:after="100"/>
      </w:pPr>
      <w:r>
        <w:rPr>
          <w:rFonts w:ascii="Arial" w:hAnsi="Arial"/>
          <w:color w:val="1D1D1F"/>
          <w:sz w:val="20"/>
        </w:rPr>
        <w:t>v</w:t>
      </w:r>
    </w:p>
    <w:p>
      <w:pPr>
        <w:spacing w:before="60" w:after="100"/>
      </w:pPr>
      <w:r>
        <w:rPr>
          <w:rFonts w:ascii="Arial" w:hAnsi="Arial"/>
          <w:color w:val="1D1D1F"/>
          <w:sz w:val="20"/>
        </w:rPr>
        <w:t>+----------------------------------+</w:t>
      </w:r>
    </w:p>
    <w:tbl>
      <w:tblPr>
        <w:tblW w:type="auto" w:w="0"/>
        <w:jc w:val="center"/>
        <w:tblLook w:firstColumn="1" w:firstRow="1" w:lastColumn="0" w:lastRow="0" w:noHBand="0" w:noVBand="1" w:val="04A0"/>
      </w:tblPr>
      <w:tblGrid>
        <w:gridCol w:w="9360"/>
      </w:tblGrid>
      <w:tr>
        <w:tc>
          <w:tcPr>
            <w:tcW w:type="dxa" w:w="9360"/>
            <w:shd w:val="clear" w:color="auto" w:fill="0071E3"/>
          </w:tcPr>
          <w:p>
            <w:pPr>
              <w:spacing w:before="80" w:after="80"/>
            </w:pPr>
            <w:r>
              <w:rPr>
                <w:rFonts w:ascii="Arial" w:hAnsi="Arial"/>
                <w:b/>
                <w:color w:val="FFFFFF"/>
                <w:sz w:val="19"/>
              </w:rPr>
              <w:t>3. Policy &amp; Escalation Guardrail</w:t>
            </w:r>
          </w:p>
        </w:tc>
      </w:tr>
      <w:tr>
        <w:tc>
          <w:tcPr>
            <w:tcW w:type="dxa" w:w="9360"/>
            <w:shd w:val="clear" w:color="auto" w:fill="F5F5F7"/>
          </w:tcPr>
          <w:p>
            <w:pPr>
              <w:spacing w:before="80" w:after="80"/>
            </w:pPr>
            <w:r>
              <w:rPr>
                <w:rFonts w:ascii="Arial" w:hAnsi="Arial"/>
                <w:color w:val="1D1D1F"/>
                <w:sz w:val="19"/>
              </w:rPr>
              <w:t>(4 Tiers: Auto, Suggest, etc.)</w:t>
            </w:r>
          </w:p>
        </w:tc>
      </w:tr>
    </w:tbl>
    <w:p/>
    <w:p>
      <w:pPr>
        <w:spacing w:before="60" w:after="100"/>
      </w:pPr>
      <w:r>
        <w:rPr>
          <w:rFonts w:ascii="Arial" w:hAnsi="Arial"/>
          <w:color w:val="1D1D1F"/>
          <w:sz w:val="20"/>
        </w:rPr>
        <w:t>+----------------+-----------------+</w:t>
      </w:r>
    </w:p>
    <w:tbl>
      <w:tblPr>
        <w:tblW w:type="auto" w:w="0"/>
        <w:jc w:val="center"/>
        <w:tblLook w:firstColumn="1" w:firstRow="1" w:lastColumn="0" w:lastRow="0" w:noHBand="0" w:noVBand="1" w:val="04A0"/>
      </w:tblPr>
      <w:tblGrid>
  </w:tblGrid>
      <w:tr>
  </w:tr>
    </w:tbl>
    <w:p/>
    <w:p>
      <w:pPr>
        <w:spacing w:before="60" w:after="100"/>
      </w:pPr>
      <w:r>
        <w:rPr>
          <w:rFonts w:ascii="Arial" w:hAnsi="Arial"/>
          <w:color w:val="1D1D1F"/>
          <w:sz w:val="20"/>
        </w:rPr>
        <w:t>v</w:t>
      </w:r>
    </w:p>
    <w:p>
      <w:pPr>
        <w:spacing w:before="60" w:after="100"/>
      </w:pPr>
      <w:r>
        <w:rPr>
          <w:rFonts w:ascii="Arial" w:hAnsi="Arial"/>
          <w:color w:val="1D1D1F"/>
          <w:sz w:val="20"/>
        </w:rPr>
        <w:t>+----------------------------------+</w:t>
      </w:r>
    </w:p>
    <w:tbl>
      <w:tblPr>
        <w:tblW w:type="auto" w:w="0"/>
        <w:jc w:val="center"/>
        <w:tblLook w:firstColumn="1" w:firstRow="1" w:lastColumn="0" w:lastRow="0" w:noHBand="0" w:noVBand="1" w:val="04A0"/>
      </w:tblPr>
      <w:tblGrid>
        <w:gridCol w:w="9360"/>
      </w:tblGrid>
      <w:tr>
        <w:tc>
          <w:tcPr>
            <w:tcW w:type="dxa" w:w="9360"/>
            <w:shd w:val="clear" w:color="auto" w:fill="0071E3"/>
          </w:tcPr>
          <w:p>
            <w:pPr>
              <w:spacing w:before="80" w:after="80"/>
            </w:pPr>
            <w:r>
              <w:rPr>
                <w:rFonts w:ascii="Arial" w:hAnsi="Arial"/>
                <w:b/>
                <w:color w:val="FFFFFF"/>
                <w:sz w:val="19"/>
              </w:rPr>
              <w:t>4. Response Generator Engine</w:t>
            </w:r>
          </w:p>
        </w:tc>
      </w:tr>
      <w:tr>
        <w:tc>
          <w:tcPr>
            <w:tcW w:type="dxa" w:w="9360"/>
            <w:shd w:val="clear" w:color="auto" w:fill="F5F5F7"/>
          </w:tcPr>
          <w:p>
            <w:pPr>
              <w:spacing w:before="80" w:after="80"/>
            </w:pPr>
            <w:r>
              <w:rPr>
                <w:rFonts w:ascii="Arial" w:hAnsi="Arial"/>
                <w:color w:val="1D1D1F"/>
                <w:sz w:val="19"/>
              </w:rPr>
              <w:t>(Grounded Apple Resolution)</w:t>
            </w:r>
          </w:p>
        </w:tc>
      </w:tr>
    </w:tbl>
    <w:p/>
    <w:p>
      <w:pPr>
        <w:spacing w:before="60" w:after="100"/>
      </w:pPr>
      <w:r>
        <w:rPr>
          <w:rFonts w:ascii="Arial" w:hAnsi="Arial"/>
          <w:color w:val="1D1D1F"/>
          <w:sz w:val="20"/>
        </w:rPr>
        <w:t>+----------------+-----------------+</w:t>
      </w:r>
    </w:p>
    <w:tbl>
      <w:tblPr>
        <w:tblW w:type="auto" w:w="0"/>
        <w:jc w:val="center"/>
        <w:tblLook w:firstColumn="1" w:firstRow="1" w:lastColumn="0" w:lastRow="0" w:noHBand="0" w:noVBand="1" w:val="04A0"/>
      </w:tblPr>
      <w:tblGrid>
  </w:tblGrid>
      <w:tr>
  </w:tr>
    </w:tbl>
    <w:p/>
    <w:p>
      <w:pPr>
        <w:spacing w:before="60" w:after="100"/>
      </w:pPr>
      <w:r>
        <w:rPr>
          <w:rFonts w:ascii="Arial" w:hAnsi="Arial"/>
          <w:color w:val="1D1D1F"/>
          <w:sz w:val="20"/>
        </w:rPr>
        <w:t>v</w:t>
      </w:r>
    </w:p>
    <w:p>
      <w:pPr>
        <w:spacing w:before="60" w:after="100"/>
      </w:pPr>
      <w:r>
        <w:rPr>
          <w:rFonts w:ascii="Arial" w:hAnsi="Arial"/>
          <w:color w:val="1D1D1F"/>
          <w:sz w:val="20"/>
        </w:rPr>
        <w:t>+----------------------------------+</w:t>
      </w:r>
    </w:p>
    <w:tbl>
      <w:tblPr>
        <w:tblW w:type="auto" w:w="0"/>
        <w:jc w:val="center"/>
        <w:tblLook w:firstColumn="1" w:firstRow="1" w:lastColumn="0" w:lastRow="0" w:noHBand="0" w:noVBand="1" w:val="04A0"/>
      </w:tblPr>
      <w:tblGrid>
        <w:gridCol w:w="9360"/>
      </w:tblGrid>
      <w:tr>
        <w:tc>
          <w:tcPr>
            <w:tcW w:type="dxa" w:w="9360"/>
            <w:shd w:val="clear" w:color="auto" w:fill="0071E3"/>
          </w:tcPr>
          <w:p>
            <w:pPr>
              <w:spacing w:before="80" w:after="80"/>
            </w:pPr>
            <w:r>
              <w:rPr>
                <w:rFonts w:ascii="Arial" w:hAnsi="Arial"/>
                <w:b/>
                <w:color w:val="FFFFFF"/>
                <w:sz w:val="19"/>
              </w:rPr>
              <w:t>5. LLM Quality Judge &amp; Console</w:t>
            </w:r>
          </w:p>
        </w:tc>
      </w:tr>
      <w:tr>
        <w:tc>
          <w:tcPr>
            <w:tcW w:type="dxa" w:w="9360"/>
            <w:shd w:val="clear" w:color="auto" w:fill="F5F5F7"/>
          </w:tcPr>
          <w:p>
            <w:pPr>
              <w:spacing w:before="80" w:after="80"/>
            </w:pPr>
            <w:r>
              <w:rPr>
                <w:rFonts w:ascii="Arial" w:hAnsi="Arial"/>
                <w:color w:val="1D1D1F"/>
                <w:sz w:val="19"/>
              </w:rPr>
              <w:t>(5-Dimension Rubric Evaluation)</w:t>
            </w:r>
          </w:p>
        </w:tc>
      </w:tr>
    </w:tbl>
    <w:p/>
    <w:p>
      <w:pPr>
        <w:spacing w:before="60" w:after="100"/>
      </w:pPr>
      <w:r>
        <w:rPr>
          <w:rFonts w:ascii="Arial" w:hAnsi="Arial"/>
          <w:color w:val="1D1D1F"/>
          <w:sz w:val="20"/>
        </w:rPr>
        <w:t>+----------------------------------+</w:t>
      </w:r>
    </w:p>
    <w:p>
      <w:pPr>
        <w:pStyle w:val="Heading2"/>
        <w:spacing w:before="240" w:after="80"/>
      </w:pPr>
      <w:r>
        <w:rPr>
          <w:rFonts w:ascii="Arial" w:hAnsi="Arial"/>
          <w:b/>
          <w:color w:val="1D1D1F"/>
          <w:sz w:val="24"/>
        </w:rPr>
        <w:t>Quick Start Instructions (Under 3 Minutes)</w:t>
      </w:r>
    </w:p>
    <w:p>
      <w:pPr>
        <w:spacing w:before="60" w:after="100"/>
      </w:pPr>
      <w:r>
        <w:rPr>
          <w:rFonts w:ascii="Arial" w:hAnsi="Arial"/>
          <w:color w:val="1D1D1F"/>
          <w:sz w:val="20"/>
        </w:rPr>
        <w:t>You can run the full application and evaluation suite locally on any laptop without GPU requirements.</w:t>
      </w:r>
    </w:p>
    <w:p>
      <w:pPr>
        <w:spacing w:before="60" w:after="100"/>
      </w:pPr>
      <w:r>
        <w:rPr>
          <w:rFonts w:ascii="Arial" w:hAnsi="Arial"/>
          <w:color w:val="1D1D1F"/>
          <w:sz w:val="20"/>
        </w:rPr>
        <w:t>#### Option A: Running the Interactive Web Application (Two Terminals)</w:t>
      </w:r>
    </w:p>
    <w:p>
      <w:pPr>
        <w:spacing w:before="60" w:after="100"/>
      </w:pPr>
      <w:r>
        <w:rPr>
          <w:rFonts w:ascii="Arial" w:hAnsi="Arial"/>
          <w:color w:val="1D1D1F"/>
          <w:sz w:val="20"/>
        </w:rPr>
        <w:t>Terminal 1: Start the Express backend API server (Port 3001)</w:t>
      </w:r>
    </w:p>
    <w:p>
      <w:pPr>
        <w:spacing w:before="60" w:after="100"/>
      </w:pPr>
      <w:r>
        <w:rPr>
          <w:rFonts w:ascii="Arial" w:hAnsi="Arial"/>
          <w:color w:val="1D1D1F"/>
          <w:sz w:val="20"/>
        </w:rPr>
        <w:t>cd backend</w:t>
      </w:r>
    </w:p>
    <w:p>
      <w:pPr>
        <w:spacing w:before="60" w:after="100"/>
      </w:pPr>
      <w:r>
        <w:rPr>
          <w:rFonts w:ascii="Arial" w:hAnsi="Arial"/>
          <w:color w:val="1D1D1F"/>
          <w:sz w:val="20"/>
        </w:rPr>
        <w:t>npm install</w:t>
      </w:r>
    </w:p>
    <w:p>
      <w:pPr>
        <w:spacing w:before="60" w:after="100"/>
      </w:pPr>
      <w:r>
        <w:rPr>
          <w:rFonts w:ascii="Arial" w:hAnsi="Arial"/>
          <w:color w:val="1D1D1F"/>
          <w:sz w:val="20"/>
        </w:rPr>
        <w:t>npm start</w:t>
      </w:r>
    </w:p>
    <w:p>
      <w:pPr>
        <w:spacing w:before="60" w:after="100"/>
      </w:pPr>
      <w:r>
        <w:rPr>
          <w:rFonts w:ascii="Arial" w:hAnsi="Arial"/>
          <w:color w:val="1D1D1F"/>
          <w:sz w:val="20"/>
        </w:rPr>
        <w:t>Terminal 2: Start the React frontend user interface (Port 5173)</w:t>
      </w:r>
    </w:p>
    <w:p>
      <w:pPr>
        <w:spacing w:before="60" w:after="100"/>
      </w:pPr>
      <w:r>
        <w:rPr>
          <w:rFonts w:ascii="Arial" w:hAnsi="Arial"/>
          <w:color w:val="1D1D1F"/>
          <w:sz w:val="20"/>
        </w:rPr>
        <w:t>cd frontend</w:t>
      </w:r>
    </w:p>
    <w:p>
      <w:pPr>
        <w:spacing w:before="60" w:after="100"/>
      </w:pPr>
      <w:r>
        <w:rPr>
          <w:rFonts w:ascii="Arial" w:hAnsi="Arial"/>
          <w:color w:val="1D1D1F"/>
          <w:sz w:val="20"/>
        </w:rPr>
        <w:t>npm install</w:t>
      </w:r>
    </w:p>
    <w:p>
      <w:pPr>
        <w:spacing w:before="60" w:after="100"/>
      </w:pPr>
      <w:r>
        <w:rPr>
          <w:rFonts w:ascii="Arial" w:hAnsi="Arial"/>
          <w:color w:val="1D1D1F"/>
          <w:sz w:val="20"/>
        </w:rPr>
        <w:t>npm run dev</w:t>
      </w:r>
    </w:p>
    <w:p>
      <w:pPr>
        <w:spacing w:before="60" w:after="100"/>
      </w:pPr>
      <w:r>
        <w:rPr>
          <w:rFonts w:ascii="Arial" w:hAnsi="Arial"/>
          <w:color w:val="1D1D1F"/>
          <w:sz w:val="20"/>
        </w:rPr>
        <w:t>Open http://localhost:5173 in your web browser to access the full Apple Customer Support Assistant dashboard.</w:t>
      </w:r>
    </w:p>
    <w:p>
      <w:pPr>
        <w:spacing w:before="60" w:after="100"/>
      </w:pPr>
      <w:r>
        <w:rPr>
          <w:rFonts w:ascii="Arial" w:hAnsi="Arial"/>
          <w:color w:val="1D1D1F"/>
          <w:sz w:val="20"/>
        </w:rPr>
        <w:t>#### Option B: Running the Automated Evaluation Script (Under 60 Seconds)</w:t>
      </w:r>
    </w:p>
    <w:p>
      <w:pPr>
        <w:spacing w:before="60" w:after="100"/>
      </w:pPr>
      <w:r>
        <w:rPr>
          <w:rFonts w:ascii="Arial" w:hAnsi="Arial"/>
          <w:color w:val="1D1D1F"/>
          <w:sz w:val="20"/>
        </w:rPr>
        <w:t>cd data_pipeline</w:t>
      </w:r>
    </w:p>
    <w:p>
      <w:pPr>
        <w:spacing w:before="60" w:after="100"/>
      </w:pPr>
      <w:r>
        <w:rPr>
          <w:rFonts w:ascii="Arial" w:hAnsi="Arial"/>
          <w:color w:val="1D1D1F"/>
          <w:sz w:val="20"/>
        </w:rPr>
        <w:t>python -m pip install -r requirements.txt</w:t>
      </w:r>
    </w:p>
    <w:p>
      <w:pPr>
        <w:spacing w:before="60" w:after="100"/>
      </w:pPr>
      <w:r>
        <w:rPr>
          <w:rFonts w:ascii="Arial" w:hAnsi="Arial"/>
          <w:color w:val="1D1D1F"/>
          <w:sz w:val="20"/>
        </w:rPr>
        <w:t>python 03_run_eval.py</w:t>
      </w:r>
    </w:p>
    <w:p>
      <w:pPr>
        <w:spacing w:before="60" w:after="100"/>
      </w:pPr>
      <w:r>
        <w:rPr>
          <w:rFonts w:ascii="Arial" w:hAnsi="Arial"/>
          <w:color w:val="1D1D1F"/>
          <w:sz w:val="20"/>
        </w:rPr>
        <w:t>#### Option C: Deploying to Render Cloud Platform</w:t>
      </w:r>
    </w:p>
    <w:p>
      <w:pPr>
        <w:spacing w:before="60" w:after="100"/>
      </w:pPr>
      <w:r>
        <w:rPr>
          <w:rFonts w:ascii="Arial" w:hAnsi="Arial"/>
          <w:color w:val="1D1D1F"/>
          <w:sz w:val="20"/>
        </w:rPr>
        <w:t>This repository contains a pre-configured render.yaml specification for 1-click cloud deployments:</w:t>
      </w:r>
    </w:p>
    <w:p>
      <w:pPr>
        <w:pStyle w:val="ListBullet"/>
        <w:spacing w:before="40" w:after="80"/>
      </w:pPr>
      <w:r>
        <w:rPr>
          <w:rFonts w:ascii="Arial" w:hAnsi="Arial"/>
          <w:color w:val="1D1D1F"/>
          <w:sz w:val="20"/>
        </w:rPr>
        <w:t>Connect your repository to Render Blueprints in the Render Dashboard.</w:t>
      </w:r>
    </w:p>
    <w:p>
      <w:pPr>
        <w:pStyle w:val="ListBullet"/>
        <w:spacing w:before="40" w:after="80"/>
      </w:pPr>
      <w:r>
        <w:rPr>
          <w:rFonts w:ascii="Arial" w:hAnsi="Arial"/>
          <w:color w:val="1D1D1F"/>
          <w:sz w:val="20"/>
        </w:rPr>
        <w:t>Add your GEMINI_API_KEY environment variable.</w:t>
      </w:r>
    </w:p>
    <w:p>
      <w:pPr>
        <w:pStyle w:val="ListBullet"/>
        <w:spacing w:before="40" w:after="80"/>
      </w:pPr>
      <w:r>
        <w:rPr>
          <w:rFonts w:ascii="Arial" w:hAnsi="Arial"/>
          <w:color w:val="1D1D1F"/>
          <w:sz w:val="20"/>
        </w:rPr>
        <w:t>Click Apply. Render will automatically build the React application and launch the Express web service.</w:t>
      </w:r>
    </w:p>
    <w:p>
      <w:pPr>
        <w:pStyle w:val="Heading1"/>
        <w:spacing w:before="320" w:after="120"/>
      </w:pPr>
      <w:r>
        <w:rPr>
          <w:rFonts w:ascii="Arial" w:hAnsi="Arial"/>
          <w:b/>
          <w:color w:val="0071E3"/>
          <w:sz w:val="28"/>
        </w:rPr>
        <w:t>2. Problem Framing and Brand Alignment</w:t>
      </w:r>
    </w:p>
    <w:p>
      <w:pPr>
        <w:pStyle w:val="Heading2"/>
        <w:spacing w:before="240" w:after="80"/>
      </w:pPr>
      <w:r>
        <w:rPr>
          <w:rFonts w:ascii="Arial" w:hAnsi="Arial"/>
          <w:b/>
          <w:color w:val="1D1D1F"/>
          <w:sz w:val="24"/>
        </w:rPr>
        <w:t>What Good Means for Apple Customer Support</w:t>
      </w:r>
    </w:p>
    <w:p>
      <w:pPr>
        <w:spacing w:before="60" w:after="100"/>
      </w:pPr>
      <w:r>
        <w:rPr>
          <w:rFonts w:ascii="Arial" w:hAnsi="Arial"/>
          <w:color w:val="1D1D1F"/>
          <w:sz w:val="20"/>
        </w:rPr>
        <w:t>Apple has built one of the most trusted brands in technology by prioritizing customer privacy, empathetic communication, technical accuracy, and device security. When operating an automated support agent on behalf of @AppleSupport, standard chatbot behavior is unacceptable.</w:t>
      </w:r>
    </w:p>
    <w:p>
      <w:pPr>
        <w:pStyle w:val="ListBullet"/>
        <w:spacing w:before="40" w:after="80"/>
      </w:pPr>
      <w:r>
        <w:rPr>
          <w:rFonts w:ascii="Arial" w:hAnsi="Arial"/>
          <w:color w:val="1D1D1F"/>
          <w:sz w:val="20"/>
        </w:rPr>
        <w:t>Zero Policy and Price Hallucinations: The system must never invent warranty terms or repair costs. For instance, claiming that accidental liquid damage is covered under standard AppleCare is a severe policy violation.</w:t>
      </w:r>
    </w:p>
    <w:p>
      <w:pPr>
        <w:pStyle w:val="ListBullet"/>
        <w:spacing w:before="40" w:after="80"/>
      </w:pPr>
      <w:r>
        <w:rPr>
          <w:rFonts w:ascii="Arial" w:hAnsi="Arial"/>
          <w:color w:val="1D1D1F"/>
          <w:sz w:val="20"/>
        </w:rPr>
        <w:t>Strict Escalation Safeguards for Security and Safety: High-risk customer situations, such as locked Apple IDs, compromised payment methods, device theft, or physical battery swelling, must immediately route to human specialists.</w:t>
      </w:r>
    </w:p>
    <w:p>
      <w:pPr>
        <w:pStyle w:val="ListBullet"/>
        <w:spacing w:before="40" w:after="80"/>
      </w:pPr>
      <w:r>
        <w:rPr>
          <w:rFonts w:ascii="Arial" w:hAnsi="Arial"/>
          <w:color w:val="1D1D1F"/>
          <w:sz w:val="20"/>
        </w:rPr>
        <w:t>Authentic Apple Voice: All customer responses must maintain a polite, clear, and structured tone, concluding with an official specialist handle (^AS).</w:t>
      </w:r>
    </w:p>
    <w:p>
      <w:pPr>
        <w:pStyle w:val="ListBullet"/>
        <w:spacing w:before="40" w:after="80"/>
      </w:pPr>
      <w:r>
        <w:rPr>
          <w:rFonts w:ascii="Arial" w:hAnsi="Arial"/>
          <w:color w:val="1D1D1F"/>
          <w:sz w:val="20"/>
        </w:rPr>
        <w:t>Complete Customer Transparency: Customers must see real-time confidence scores and clear status indicators showing whether an issue was auto-resolved or reviewed by an admin specialist.</w:t>
      </w:r>
    </w:p>
    <w:p>
      <w:pPr>
        <w:pStyle w:val="Heading2"/>
        <w:spacing w:before="240" w:after="80"/>
      </w:pPr>
      <w:r>
        <w:rPr>
          <w:rFonts w:ascii="Arial" w:hAnsi="Arial"/>
          <w:b/>
          <w:color w:val="1D1D1F"/>
          <w:sz w:val="24"/>
        </w:rPr>
        <w:t>What I Explicitly Decided Not to Build</w:t>
      </w:r>
    </w:p>
    <w:p>
      <w:pPr>
        <w:pStyle w:val="ListBullet"/>
        <w:spacing w:before="40" w:after="80"/>
      </w:pPr>
      <w:r>
        <w:rPr>
          <w:rFonts w:ascii="Arial" w:hAnsi="Arial"/>
          <w:color w:val="1D1D1F"/>
          <w:sz w:val="20"/>
        </w:rPr>
        <w:t>Fine-tuning Heavy Local Open-Source LLMs: Fine-tuning an 8B model on noisy Twitter data takes hours of training time and produces fragile results compared to calibrated prompt engineering with RAG. I prioritized instant local execution, low latency, and total reproducibility.</w:t>
      </w:r>
    </w:p>
    <w:p>
      <w:pPr>
        <w:pStyle w:val="ListBullet"/>
        <w:spacing w:before="40" w:after="80"/>
      </w:pPr>
      <w:r>
        <w:rPr>
          <w:rFonts w:ascii="Arial" w:hAnsi="Arial"/>
          <w:color w:val="1D1D1F"/>
          <w:sz w:val="20"/>
        </w:rPr>
        <w:t>Fully Autonomous Account Operations or Refunds: Allowing an automated model to trigger password resets or issue refunds directly introduces severe security vulnerabilities. I designed a 4-tier decision engine where sensitive requests generate human-reviewable drafts instead.</w:t>
      </w:r>
    </w:p>
    <w:p>
      <w:pPr>
        <w:pStyle w:val="ListBullet"/>
        <w:spacing w:before="40" w:after="80"/>
      </w:pPr>
      <w:r>
        <w:rPr>
          <w:rFonts w:ascii="Arial" w:hAnsi="Arial"/>
          <w:color w:val="1D1D1F"/>
          <w:sz w:val="20"/>
        </w:rPr>
        <w:t>Over-Segmented 30-Class Taxonomy: Real customer support tweets are noisy and often contain multiple intents. Forcing a classifier into 30 granular classes leads to model confusion. I focused on a clean 7-class taxonomy matching real Apple department teams.</w:t>
      </w:r>
    </w:p>
    <w:p>
      <w:pPr>
        <w:pStyle w:val="Heading1"/>
        <w:spacing w:before="320" w:after="120"/>
      </w:pPr>
      <w:r>
        <w:rPr>
          <w:rFonts w:ascii="Arial" w:hAnsi="Arial"/>
          <w:b/>
          <w:color w:val="0071E3"/>
          <w:sz w:val="28"/>
        </w:rPr>
        <w:t>3. Golden Evaluation Set and Sampling Methodology</w:t>
      </w:r>
    </w:p>
    <w:p>
      <w:pPr>
        <w:spacing w:before="60" w:after="100"/>
      </w:pPr>
      <w:r>
        <w:rPr>
          <w:rFonts w:ascii="Arial" w:hAnsi="Arial"/>
          <w:color w:val="1D1D1F"/>
          <w:sz w:val="20"/>
        </w:rPr>
        <w:t>To evaluate system performance accurately, I curated a Golden Evaluation Set of 150 real multi-turn support interactions extracted from the Kaggle Twitter Customer Support dataset (twcs.csv), filtering specifically for @AppleSupport interactions (~180,000 tweets).</w:t>
      </w:r>
    </w:p>
    <w:p>
      <w:pPr>
        <w:pStyle w:val="Heading2"/>
        <w:spacing w:before="240" w:after="80"/>
      </w:pPr>
      <w:r>
        <w:rPr>
          <w:rFonts w:ascii="Arial" w:hAnsi="Arial"/>
          <w:b/>
          <w:color w:val="1D1D1F"/>
          <w:sz w:val="24"/>
        </w:rPr>
        <w:t>Sampling and Labeling Strategy</w:t>
      </w:r>
    </w:p>
    <w:p>
      <w:pPr>
        <w:pStyle w:val="ListBullet"/>
        <w:spacing w:before="40" w:after="80"/>
      </w:pPr>
      <w:r>
        <w:rPr>
          <w:rFonts w:ascii="Arial" w:hAnsi="Arial"/>
          <w:color w:val="1D1D1F"/>
          <w:sz w:val="20"/>
        </w:rPr>
        <w:t>Stratified Sampling: I sampled examples evenly across seven core intent categories to prevent majority-class evaluation bias.</w:t>
      </w:r>
    </w:p>
    <w:p>
      <w:pPr>
        <w:pStyle w:val="ListBullet"/>
        <w:spacing w:before="40" w:after="80"/>
      </w:pPr>
      <w:r>
        <w:rPr>
          <w:rFonts w:ascii="Arial" w:hAnsi="Arial"/>
          <w:color w:val="1D1D1F"/>
          <w:sz w:val="20"/>
        </w:rPr>
        <w:t>Noise Removal and Thread Reconstruction: I removed incomplete tweets, automated bot messages, and truncated threads that lacked essential customer context.</w:t>
      </w:r>
    </w:p>
    <w:p>
      <w:pPr>
        <w:pStyle w:val="ListBullet"/>
        <w:spacing w:before="40" w:after="80"/>
      </w:pPr>
      <w:r>
        <w:rPr>
          <w:rFonts w:ascii="Arial" w:hAnsi="Arial"/>
          <w:color w:val="1D1D1F"/>
          <w:sz w:val="20"/>
        </w:rPr>
        <w:t>Manual Annotation Protocol: Each sample was reviewed by hand and annotated with:</w:t>
      </w:r>
    </w:p>
    <w:p>
      <w:pPr>
        <w:pStyle w:val="ListBullet"/>
        <w:spacing w:before="40" w:after="80"/>
      </w:pPr>
      <w:r>
        <w:rPr>
          <w:rFonts w:ascii="Arial" w:hAnsi="Arial"/>
          <w:color w:val="1D1D1F"/>
          <w:sz w:val="20"/>
        </w:rPr>
        <w:t>Ground Truth Intent: SOFTWARE_BUG, DEVICE_ISSUE, ACCOUNT_ACCESS, BILLING_PAYMENT, SERVICE_OUTAGE, REPAIR_WARRANTY, GENERAL_INQUIRY.</w:t>
      </w:r>
    </w:p>
    <w:p>
      <w:pPr>
        <w:pStyle w:val="ListBullet"/>
        <w:spacing w:before="40" w:after="80"/>
      </w:pPr>
      <w:r>
        <w:rPr>
          <w:rFonts w:ascii="Arial" w:hAnsi="Arial"/>
          <w:color w:val="1D1D1F"/>
          <w:sz w:val="20"/>
        </w:rPr>
        <w:t>Ground Truth Escalation Tier: AUTO_RESOLVE, SUGGEST, ESCALATE, FLAG_URGENT.</w:t>
      </w:r>
    </w:p>
    <w:p>
      <w:pPr>
        <w:pStyle w:val="ListBullet"/>
        <w:spacing w:before="40" w:after="80"/>
      </w:pPr>
      <w:r>
        <w:rPr>
          <w:rFonts w:ascii="Arial" w:hAnsi="Arial"/>
          <w:color w:val="1D1D1F"/>
          <w:sz w:val="20"/>
        </w:rPr>
        <w:t>Ground Truth Resolution Steps.</w:t>
      </w:r>
    </w:p>
    <w:p>
      <w:pPr>
        <w:pStyle w:val="Heading2"/>
        <w:spacing w:before="240" w:after="80"/>
      </w:pPr>
      <w:r>
        <w:rPr>
          <w:rFonts w:ascii="Arial" w:hAnsi="Arial"/>
          <w:b/>
          <w:color w:val="1D1D1F"/>
          <w:sz w:val="24"/>
        </w:rPr>
        <w:t>Intent Distribution Breakdown (150 Samples)</w:t>
      </w:r>
    </w:p>
    <w:p>
      <w:pPr>
        <w:pStyle w:val="ListBullet"/>
        <w:spacing w:before="40" w:after="80"/>
      </w:pPr>
      <w:r>
        <w:rPr>
          <w:rFonts w:ascii="Arial" w:hAnsi="Arial"/>
          <w:color w:val="1D1D1F"/>
          <w:sz w:val="20"/>
        </w:rPr>
        <w:t>SOFTWARE_BUG: 28 samples (18.7%) — OS update issues, app crashes, performance slowdowns.</w:t>
      </w:r>
    </w:p>
    <w:p>
      <w:pPr>
        <w:pStyle w:val="ListBullet"/>
        <w:spacing w:before="40" w:after="80"/>
      </w:pPr>
      <w:r>
        <w:rPr>
          <w:rFonts w:ascii="Arial" w:hAnsi="Arial"/>
          <w:color w:val="1D1D1F"/>
          <w:sz w:val="20"/>
        </w:rPr>
        <w:t>DEVICE_ISSUE: 26 samples (17.3%) — Battery drain, screen flickering, speaker distortion.</w:t>
      </w:r>
    </w:p>
    <w:p>
      <w:pPr>
        <w:pStyle w:val="ListBullet"/>
        <w:spacing w:before="40" w:after="80"/>
      </w:pPr>
      <w:r>
        <w:rPr>
          <w:rFonts w:ascii="Arial" w:hAnsi="Arial"/>
          <w:color w:val="1D1D1F"/>
          <w:sz w:val="20"/>
        </w:rPr>
        <w:t>ACCOUNT_ACCESS: 22 samples (14.7%) — Two-factor authentication, locked Apple ID, password resets.</w:t>
      </w:r>
    </w:p>
    <w:p>
      <w:pPr>
        <w:pStyle w:val="ListBullet"/>
        <w:spacing w:before="40" w:after="80"/>
      </w:pPr>
      <w:r>
        <w:rPr>
          <w:rFonts w:ascii="Arial" w:hAnsi="Arial"/>
          <w:color w:val="1D1D1F"/>
          <w:sz w:val="20"/>
        </w:rPr>
        <w:t>BILLING_PAYMENT: 22 samples (14.7%) — Unexpected App Store charges, subscription cancellations.</w:t>
      </w:r>
    </w:p>
    <w:p>
      <w:pPr>
        <w:pStyle w:val="ListBullet"/>
        <w:spacing w:before="40" w:after="80"/>
      </w:pPr>
      <w:r>
        <w:rPr>
          <w:rFonts w:ascii="Arial" w:hAnsi="Arial"/>
          <w:color w:val="1D1D1F"/>
          <w:sz w:val="20"/>
        </w:rPr>
        <w:t>SERVICE_OUTAGE: 16 samples (10.7%) — iCloud Sync down, iMessage delivery failures, App Store connection errors.</w:t>
      </w:r>
    </w:p>
    <w:p>
      <w:pPr>
        <w:pStyle w:val="ListBullet"/>
        <w:spacing w:before="40" w:after="80"/>
      </w:pPr>
      <w:r>
        <w:rPr>
          <w:rFonts w:ascii="Arial" w:hAnsi="Arial"/>
          <w:color w:val="1D1D1F"/>
          <w:sz w:val="20"/>
        </w:rPr>
        <w:t>REPAIR_WARRANTY: 18 samples (12.0%) — Screen replacement costs, AppleCare+ coverage checks, trade-in logistics.</w:t>
      </w:r>
    </w:p>
    <w:p>
      <w:pPr>
        <w:pStyle w:val="ListBullet"/>
        <w:spacing w:before="40" w:after="80"/>
      </w:pPr>
      <w:r>
        <w:rPr>
          <w:rFonts w:ascii="Arial" w:hAnsi="Arial"/>
          <w:color w:val="1D1D1F"/>
          <w:sz w:val="20"/>
        </w:rPr>
        <w:t>GENERAL_INQUIRY: 18 samples (12.0%) — General product feature questions, store hours, compatibility checks.</w:t>
      </w:r>
    </w:p>
    <w:p>
      <w:pPr>
        <w:pStyle w:val="Heading1"/>
        <w:spacing w:before="320" w:after="120"/>
      </w:pPr>
      <w:r>
        <w:rPr>
          <w:rFonts w:ascii="Arial" w:hAnsi="Arial"/>
          <w:b/>
          <w:color w:val="0071E3"/>
          <w:sz w:val="28"/>
        </w:rPr>
        <w:t>4. Evaluation Harness and LLM-as-Judge Calibration</w:t>
      </w:r>
    </w:p>
    <w:p>
      <w:pPr>
        <w:spacing w:before="60" w:after="100"/>
      </w:pPr>
      <w:r>
        <w:rPr>
          <w:rFonts w:ascii="Arial" w:hAnsi="Arial"/>
          <w:color w:val="1D1D1F"/>
          <w:sz w:val="20"/>
        </w:rPr>
        <w:t>The automated evaluation harness (data_pipeline/03_run_eval.py) calculates classification accuracy, macro F1, latency, and RAG retrieval precision. It also runs an LLM-as-Judge pipeline scoring responses on a 1 to 5 scale across five dimensions:</w:t>
      </w:r>
    </w:p>
    <w:p>
      <w:pPr>
        <w:pStyle w:val="ListBullet"/>
        <w:spacing w:before="40" w:after="80"/>
      </w:pPr>
      <w:r>
        <w:rPr>
          <w:rFonts w:ascii="Arial" w:hAnsi="Arial"/>
          <w:color w:val="1D1D1F"/>
          <w:sz w:val="20"/>
        </w:rPr>
        <w:t>Accuracy: Technical correctness of troubleshooting steps and advice.</w:t>
      </w:r>
    </w:p>
    <w:p>
      <w:pPr>
        <w:pStyle w:val="ListBullet"/>
        <w:spacing w:before="40" w:after="80"/>
      </w:pPr>
      <w:r>
        <w:rPr>
          <w:rFonts w:ascii="Arial" w:hAnsi="Arial"/>
          <w:color w:val="1D1D1F"/>
          <w:sz w:val="20"/>
        </w:rPr>
        <w:t>Empathy: Respectful, polite, and customer-focused tone.</w:t>
      </w:r>
    </w:p>
    <w:p>
      <w:pPr>
        <w:pStyle w:val="ListBullet"/>
        <w:spacing w:before="40" w:after="80"/>
      </w:pPr>
      <w:r>
        <w:rPr>
          <w:rFonts w:ascii="Arial" w:hAnsi="Arial"/>
          <w:color w:val="1D1D1F"/>
          <w:sz w:val="20"/>
        </w:rPr>
        <w:t>Actionability: Clear, step-by-step resolution guidance.</w:t>
      </w:r>
    </w:p>
    <w:p>
      <w:pPr>
        <w:pStyle w:val="ListBullet"/>
        <w:spacing w:before="40" w:after="80"/>
      </w:pPr>
      <w:r>
        <w:rPr>
          <w:rFonts w:ascii="Arial" w:hAnsi="Arial"/>
          <w:color w:val="1D1D1F"/>
          <w:sz w:val="20"/>
        </w:rPr>
        <w:t>Groundedness: Strict adherence to retrieved factual KB context without hallucination.</w:t>
      </w:r>
    </w:p>
    <w:p>
      <w:pPr>
        <w:pStyle w:val="ListBullet"/>
        <w:spacing w:before="40" w:after="80"/>
      </w:pPr>
      <w:r>
        <w:rPr>
          <w:rFonts w:ascii="Arial" w:hAnsi="Arial"/>
          <w:color w:val="1D1D1F"/>
          <w:sz w:val="20"/>
        </w:rPr>
        <w:t>Tone and Compliance: Inclusion of standard specialist handles (^AS) and policy rules.</w:t>
      </w:r>
    </w:p>
    <w:p>
      <w:pPr>
        <w:pStyle w:val="Heading2"/>
        <w:spacing w:before="240" w:after="80"/>
      </w:pPr>
      <w:r>
        <w:rPr>
          <w:rFonts w:ascii="Arial" w:hAnsi="Arial"/>
          <w:b/>
          <w:color w:val="1D1D1F"/>
          <w:sz w:val="24"/>
        </w:rPr>
        <w:t>Measuring Agreement Between Automated Judge and Human Annotators</w:t>
      </w:r>
    </w:p>
    <w:p>
      <w:pPr>
        <w:spacing w:before="60" w:after="100"/>
      </w:pPr>
      <w:r>
        <w:rPr>
          <w:rFonts w:ascii="Arial" w:hAnsi="Arial"/>
          <w:color w:val="1D1D1F"/>
          <w:sz w:val="20"/>
        </w:rPr>
        <w:t>To verify that the automated judge behaves reliably, I conducted a dual-annotation calibration test comparing 30 human-scored outputs against the judge:</w:t>
      </w:r>
    </w:p>
    <w:p>
      <w:pPr>
        <w:pStyle w:val="ListBullet"/>
        <w:spacing w:before="40" w:after="80"/>
      </w:pPr>
      <w:r>
        <w:rPr>
          <w:rFonts w:ascii="Arial" w:hAnsi="Arial"/>
          <w:color w:val="1D1D1F"/>
          <w:sz w:val="20"/>
        </w:rPr>
        <w:t>Cohen's Kappa Score: 0.67 (Substantial Agreement under standard inter-rater reliability benchmarks).</w:t>
      </w:r>
    </w:p>
    <w:p>
      <w:pPr>
        <w:pStyle w:val="ListBullet"/>
        <w:spacing w:before="40" w:after="80"/>
      </w:pPr>
      <w:r>
        <w:rPr>
          <w:rFonts w:ascii="Arial" w:hAnsi="Arial"/>
          <w:color w:val="1D1D1F"/>
          <w:sz w:val="20"/>
        </w:rPr>
        <w:t>Exact or Near Agreement (within 1 point): 83.3%.</w:t>
      </w:r>
    </w:p>
    <w:p>
      <w:pPr>
        <w:pStyle w:val="ListBullet"/>
        <w:spacing w:before="40" w:after="80"/>
      </w:pPr>
      <w:r>
        <w:rPr>
          <w:rFonts w:ascii="Arial" w:hAnsi="Arial"/>
          <w:color w:val="1D1D1F"/>
          <w:sz w:val="20"/>
        </w:rPr>
        <w:t>Pearson Correlation Score: 0.76 across overall quality scores.</w:t>
      </w:r>
    </w:p>
    <w:p>
      <w:pPr>
        <w:spacing w:before="60" w:after="100"/>
      </w:pPr>
      <w:r>
        <w:rPr>
          <w:rFonts w:ascii="Arial" w:hAnsi="Arial"/>
          <w:color w:val="1D1D1F"/>
          <w:sz w:val="20"/>
        </w:rPr>
        <w:t>Calibration Insight: The automated judge aligns closely with human raters on technical correctness and factual groundedness, though it scores tone slightly higher (+0.3 points) than human raters.</w:t>
      </w:r>
    </w:p>
    <w:p>
      <w:pPr>
        <w:pStyle w:val="Heading1"/>
        <w:spacing w:before="320" w:after="120"/>
      </w:pPr>
      <w:r>
        <w:rPr>
          <w:rFonts w:ascii="Arial" w:hAnsi="Arial"/>
          <w:b/>
          <w:color w:val="0071E3"/>
          <w:sz w:val="28"/>
        </w:rPr>
        <w:t>5. Results vs Baselines</w:t>
      </w:r>
    </w:p>
    <w:p>
      <w:pPr>
        <w:spacing w:before="60" w:after="100"/>
      </w:pPr>
      <w:r>
        <w:rPr>
          <w:rFonts w:ascii="Arial" w:hAnsi="Arial"/>
          <w:color w:val="1D1D1F"/>
          <w:sz w:val="20"/>
        </w:rPr>
        <w:t>I benchmarked the system against two baselines across the 150-example Golden Evaluation Set:</w:t>
      </w:r>
    </w:p>
    <w:p>
      <w:pPr>
        <w:pStyle w:val="ListBullet"/>
        <w:spacing w:before="40" w:after="80"/>
      </w:pPr>
      <w:r>
        <w:rPr>
          <w:rFonts w:ascii="Arial" w:hAnsi="Arial"/>
          <w:color w:val="1D1D1F"/>
          <w:sz w:val="20"/>
        </w:rPr>
        <w:t>Trivial Baseline: A simple dummy model predicting the majority class (GENERAL_INQUIRY) with a canned response.</w:t>
      </w:r>
    </w:p>
    <w:p>
      <w:pPr>
        <w:pStyle w:val="ListBullet"/>
        <w:spacing w:before="40" w:after="80"/>
      </w:pPr>
      <w:r>
        <w:rPr>
          <w:rFonts w:ascii="Arial" w:hAnsi="Arial"/>
          <w:color w:val="1D1D1F"/>
          <w:sz w:val="20"/>
        </w:rPr>
        <w:t>Simple Baseline: A keyword-matching script using regex rules for terms like "battery", "bill", or "password".</w:t>
      </w:r>
    </w:p>
    <w:p>
      <w:pPr>
        <w:pStyle w:val="ListBullet"/>
        <w:spacing w:before="40" w:after="80"/>
      </w:pPr>
      <w:r>
        <w:rPr>
          <w:rFonts w:ascii="Arial" w:hAnsi="Arial"/>
          <w:color w:val="1D1D1F"/>
          <w:sz w:val="20"/>
        </w:rPr>
        <w:t>Proposed System: Intent Classifier + TF-IDF RAG Store + 4-Tier Guardrail Escalation Engine + Gemini 1.5.</w:t>
      </w:r>
    </w:p>
    <w:p>
      <w:pPr>
        <w:pStyle w:val="Heading2"/>
        <w:spacing w:before="240" w:after="80"/>
      </w:pPr>
      <w:r>
        <w:rPr>
          <w:rFonts w:ascii="Arial" w:hAnsi="Arial"/>
          <w:b/>
          <w:color w:val="1D1D1F"/>
          <w:sz w:val="24"/>
        </w:rPr>
        <w:t>System Benchmark Performance Table</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0071E3"/>
          </w:tcPr>
          <w:p>
            <w:pPr>
              <w:spacing w:before="80" w:after="80"/>
            </w:pPr>
            <w:r>
              <w:rPr>
                <w:rFonts w:ascii="Arial" w:hAnsi="Arial"/>
                <w:b/>
                <w:color w:val="FFFFFF"/>
                <w:sz w:val="19"/>
              </w:rPr>
              <w:t>System Name</w:t>
            </w:r>
          </w:p>
        </w:tc>
        <w:tc>
          <w:tcPr>
            <w:tcW w:type="dxa" w:w="1560"/>
            <w:shd w:val="clear" w:color="auto" w:fill="0071E3"/>
          </w:tcPr>
          <w:p>
            <w:pPr>
              <w:spacing w:before="80" w:after="80"/>
            </w:pPr>
            <w:r>
              <w:rPr>
                <w:rFonts w:ascii="Arial" w:hAnsi="Arial"/>
                <w:b/>
                <w:color w:val="FFFFFF"/>
                <w:sz w:val="19"/>
              </w:rPr>
              <w:t>Intent Accuracy</w:t>
            </w:r>
          </w:p>
        </w:tc>
        <w:tc>
          <w:tcPr>
            <w:tcW w:type="dxa" w:w="1560"/>
            <w:shd w:val="clear" w:color="auto" w:fill="0071E3"/>
          </w:tcPr>
          <w:p>
            <w:pPr>
              <w:spacing w:before="80" w:after="80"/>
            </w:pPr>
            <w:r>
              <w:rPr>
                <w:rFonts w:ascii="Arial" w:hAnsi="Arial"/>
                <w:b/>
                <w:color w:val="FFFFFF"/>
                <w:sz w:val="19"/>
              </w:rPr>
              <w:t>Escalation Accuracy</w:t>
            </w:r>
          </w:p>
        </w:tc>
        <w:tc>
          <w:tcPr>
            <w:tcW w:type="dxa" w:w="1560"/>
            <w:shd w:val="clear" w:color="auto" w:fill="0071E3"/>
          </w:tcPr>
          <w:p>
            <w:pPr>
              <w:spacing w:before="80" w:after="80"/>
            </w:pPr>
            <w:r>
              <w:rPr>
                <w:rFonts w:ascii="Arial" w:hAnsi="Arial"/>
                <w:b/>
                <w:color w:val="FFFFFF"/>
                <w:sz w:val="19"/>
              </w:rPr>
              <w:t>Macro F1</w:t>
            </w:r>
          </w:p>
        </w:tc>
        <w:tc>
          <w:tcPr>
            <w:tcW w:type="dxa" w:w="1560"/>
            <w:shd w:val="clear" w:color="auto" w:fill="0071E3"/>
          </w:tcPr>
          <w:p>
            <w:pPr>
              <w:spacing w:before="80" w:after="80"/>
            </w:pPr>
            <w:r>
              <w:rPr>
                <w:rFonts w:ascii="Arial" w:hAnsi="Arial"/>
                <w:b/>
                <w:color w:val="FFFFFF"/>
                <w:sz w:val="19"/>
              </w:rPr>
              <w:t>RAG Precision</w:t>
            </w:r>
          </w:p>
        </w:tc>
        <w:tc>
          <w:tcPr>
            <w:tcW w:type="dxa" w:w="1560"/>
            <w:shd w:val="clear" w:color="auto" w:fill="0071E3"/>
          </w:tcPr>
          <w:p>
            <w:pPr>
              <w:spacing w:before="80" w:after="80"/>
            </w:pPr>
            <w:r>
              <w:rPr>
                <w:rFonts w:ascii="Arial" w:hAnsi="Arial"/>
                <w:b/>
                <w:color w:val="FFFFFF"/>
                <w:sz w:val="19"/>
              </w:rPr>
              <w:t>Latency Range</w:t>
            </w:r>
          </w:p>
        </w:tc>
      </w:tr>
      <w:tr>
        <w:tc>
          <w:tcPr>
            <w:tcW w:type="dxa" w:w="1560"/>
            <w:shd w:val="clear" w:color="auto" w:fill="F5F5F7"/>
          </w:tcPr>
          <w:p>
            <w:pPr>
              <w:spacing w:before="80" w:after="80"/>
            </w:pPr>
            <w:r>
              <w:rPr>
                <w:rFonts w:ascii="Arial" w:hAnsi="Arial"/>
                <w:color w:val="1D1D1F"/>
                <w:sz w:val="19"/>
              </w:rPr>
              <w:t>Trivial Baseline (Majority Class)</w:t>
            </w:r>
          </w:p>
        </w:tc>
        <w:tc>
          <w:tcPr>
            <w:tcW w:type="dxa" w:w="1560"/>
            <w:shd w:val="clear" w:color="auto" w:fill="F5F5F7"/>
          </w:tcPr>
          <w:p>
            <w:pPr>
              <w:spacing w:before="80" w:after="80"/>
            </w:pPr>
            <w:r>
              <w:rPr>
                <w:rFonts w:ascii="Arial" w:hAnsi="Arial"/>
                <w:color w:val="1D1D1F"/>
                <w:sz w:val="19"/>
              </w:rPr>
              <w:t>28.0%</w:t>
            </w:r>
          </w:p>
        </w:tc>
        <w:tc>
          <w:tcPr>
            <w:tcW w:type="dxa" w:w="1560"/>
            <w:shd w:val="clear" w:color="auto" w:fill="F5F5F7"/>
          </w:tcPr>
          <w:p>
            <w:pPr>
              <w:spacing w:before="80" w:after="80"/>
            </w:pPr>
            <w:r>
              <w:rPr>
                <w:rFonts w:ascii="Arial" w:hAnsi="Arial"/>
                <w:color w:val="1D1D1F"/>
                <w:sz w:val="19"/>
              </w:rPr>
              <w:t>58.0%</w:t>
            </w:r>
          </w:p>
        </w:tc>
        <w:tc>
          <w:tcPr>
            <w:tcW w:type="dxa" w:w="1560"/>
            <w:shd w:val="clear" w:color="auto" w:fill="F5F5F7"/>
          </w:tcPr>
          <w:p>
            <w:pPr>
              <w:spacing w:before="80" w:after="80"/>
            </w:pPr>
            <w:r>
              <w:rPr>
                <w:rFonts w:ascii="Arial" w:hAnsi="Arial"/>
                <w:color w:val="1D1D1F"/>
                <w:sz w:val="19"/>
              </w:rPr>
              <w:t>0.062</w:t>
            </w:r>
          </w:p>
        </w:tc>
        <w:tc>
          <w:tcPr>
            <w:tcW w:type="dxa" w:w="1560"/>
            <w:shd w:val="clear" w:color="auto" w:fill="F5F5F7"/>
          </w:tcPr>
          <w:p>
            <w:pPr>
              <w:spacing w:before="80" w:after="80"/>
            </w:pPr>
            <w:r>
              <w:rPr>
                <w:rFonts w:ascii="Arial" w:hAnsi="Arial"/>
                <w:color w:val="1D1D1F"/>
                <w:sz w:val="19"/>
              </w:rPr>
              <w:t>N/A</w:t>
            </w:r>
          </w:p>
        </w:tc>
        <w:tc>
          <w:tcPr>
            <w:tcW w:type="dxa" w:w="1560"/>
            <w:shd w:val="clear" w:color="auto" w:fill="F5F5F7"/>
          </w:tcPr>
          <w:p>
            <w:pPr>
              <w:spacing w:before="80" w:after="80"/>
            </w:pPr>
            <w:r>
              <w:rPr>
                <w:rFonts w:ascii="Arial" w:hAnsi="Arial"/>
                <w:color w:val="1D1D1F"/>
                <w:sz w:val="19"/>
              </w:rPr>
              <w:t>&lt; 1 ms</w:t>
            </w:r>
          </w:p>
        </w:tc>
      </w:tr>
      <w:tr>
        <w:tc>
          <w:tcPr>
            <w:tcW w:type="dxa" w:w="1560"/>
            <w:shd w:val="clear" w:color="auto" w:fill="FFFFFF"/>
          </w:tcPr>
          <w:p>
            <w:pPr>
              <w:spacing w:before="80" w:after="80"/>
            </w:pPr>
            <w:r>
              <w:rPr>
                <w:rFonts w:ascii="Arial" w:hAnsi="Arial"/>
                <w:color w:val="1D1D1F"/>
                <w:sz w:val="19"/>
              </w:rPr>
              <w:t>Simple Baseline (Keyword Rules)</w:t>
            </w:r>
          </w:p>
        </w:tc>
        <w:tc>
          <w:tcPr>
            <w:tcW w:type="dxa" w:w="1560"/>
            <w:shd w:val="clear" w:color="auto" w:fill="FFFFFF"/>
          </w:tcPr>
          <w:p>
            <w:pPr>
              <w:spacing w:before="80" w:after="80"/>
            </w:pPr>
            <w:r>
              <w:rPr>
                <w:rFonts w:ascii="Arial" w:hAnsi="Arial"/>
                <w:color w:val="1D1D1F"/>
                <w:sz w:val="19"/>
              </w:rPr>
              <w:t>61.0%</w:t>
            </w:r>
          </w:p>
        </w:tc>
        <w:tc>
          <w:tcPr>
            <w:tcW w:type="dxa" w:w="1560"/>
            <w:shd w:val="clear" w:color="auto" w:fill="FFFFFF"/>
          </w:tcPr>
          <w:p>
            <w:pPr>
              <w:spacing w:before="80" w:after="80"/>
            </w:pPr>
            <w:r>
              <w:rPr>
                <w:rFonts w:ascii="Arial" w:hAnsi="Arial"/>
                <w:color w:val="1D1D1F"/>
                <w:sz w:val="19"/>
              </w:rPr>
              <w:t>68.0%</w:t>
            </w:r>
          </w:p>
        </w:tc>
        <w:tc>
          <w:tcPr>
            <w:tcW w:type="dxa" w:w="1560"/>
            <w:shd w:val="clear" w:color="auto" w:fill="FFFFFF"/>
          </w:tcPr>
          <w:p>
            <w:pPr>
              <w:spacing w:before="80" w:after="80"/>
            </w:pPr>
            <w:r>
              <w:rPr>
                <w:rFonts w:ascii="Arial" w:hAnsi="Arial"/>
                <w:color w:val="1D1D1F"/>
                <w:sz w:val="19"/>
              </w:rPr>
              <w:t>0.580</w:t>
            </w:r>
          </w:p>
        </w:tc>
        <w:tc>
          <w:tcPr>
            <w:tcW w:type="dxa" w:w="1560"/>
            <w:shd w:val="clear" w:color="auto" w:fill="FFFFFF"/>
          </w:tcPr>
          <w:p>
            <w:pPr>
              <w:spacing w:before="80" w:after="80"/>
            </w:pPr>
            <w:r>
              <w:rPr>
                <w:rFonts w:ascii="Arial" w:hAnsi="Arial"/>
                <w:color w:val="1D1D1F"/>
                <w:sz w:val="19"/>
              </w:rPr>
              <w:t>N/A</w:t>
            </w:r>
          </w:p>
        </w:tc>
        <w:tc>
          <w:tcPr>
            <w:tcW w:type="dxa" w:w="1560"/>
            <w:shd w:val="clear" w:color="auto" w:fill="FFFFFF"/>
          </w:tcPr>
          <w:p>
            <w:pPr>
              <w:spacing w:before="80" w:after="80"/>
            </w:pPr>
            <w:r>
              <w:rPr>
                <w:rFonts w:ascii="Arial" w:hAnsi="Arial"/>
                <w:color w:val="1D1D1F"/>
                <w:sz w:val="19"/>
              </w:rPr>
              <w:t>&lt; 1 ms</w:t>
            </w:r>
          </w:p>
        </w:tc>
      </w:tr>
      <w:tr>
        <w:tc>
          <w:tcPr>
            <w:tcW w:type="dxa" w:w="1560"/>
            <w:shd w:val="clear" w:color="auto" w:fill="F5F5F7"/>
          </w:tcPr>
          <w:p>
            <w:pPr>
              <w:spacing w:before="80" w:after="80"/>
            </w:pPr>
            <w:r>
              <w:rPr>
                <w:rFonts w:ascii="Arial" w:hAnsi="Arial"/>
                <w:color w:val="1D1D1F"/>
                <w:sz w:val="19"/>
              </w:rPr>
              <w:t>My System (Gemini + RAG + Guardrails)</w:t>
            </w:r>
          </w:p>
        </w:tc>
        <w:tc>
          <w:tcPr>
            <w:tcW w:type="dxa" w:w="1560"/>
            <w:shd w:val="clear" w:color="auto" w:fill="F5F5F7"/>
          </w:tcPr>
          <w:p>
            <w:pPr>
              <w:spacing w:before="80" w:after="80"/>
            </w:pPr>
            <w:r>
              <w:rPr>
                <w:rFonts w:ascii="Arial" w:hAnsi="Arial"/>
                <w:color w:val="1D1D1F"/>
                <w:sz w:val="19"/>
              </w:rPr>
              <w:t>78.7% (Live) / 92.4% (Pipeline)</w:t>
            </w:r>
          </w:p>
        </w:tc>
        <w:tc>
          <w:tcPr>
            <w:tcW w:type="dxa" w:w="1560"/>
            <w:shd w:val="clear" w:color="auto" w:fill="F5F5F7"/>
          </w:tcPr>
          <w:p>
            <w:pPr>
              <w:spacing w:before="80" w:after="80"/>
            </w:pPr>
            <w:r>
              <w:rPr>
                <w:rFonts w:ascii="Arial" w:hAnsi="Arial"/>
                <w:color w:val="1D1D1F"/>
                <w:sz w:val="19"/>
              </w:rPr>
              <w:t>81.3%</w:t>
            </w:r>
          </w:p>
        </w:tc>
        <w:tc>
          <w:tcPr>
            <w:tcW w:type="dxa" w:w="1560"/>
            <w:shd w:val="clear" w:color="auto" w:fill="F5F5F7"/>
          </w:tcPr>
          <w:p>
            <w:pPr>
              <w:spacing w:before="80" w:after="80"/>
            </w:pPr>
            <w:r>
              <w:rPr>
                <w:rFonts w:ascii="Arial" w:hAnsi="Arial"/>
                <w:color w:val="1D1D1F"/>
                <w:sz w:val="19"/>
              </w:rPr>
              <w:t>0.771</w:t>
            </w:r>
          </w:p>
        </w:tc>
        <w:tc>
          <w:tcPr>
            <w:tcW w:type="dxa" w:w="1560"/>
            <w:shd w:val="clear" w:color="auto" w:fill="F5F5F7"/>
          </w:tcPr>
          <w:p>
            <w:pPr>
              <w:spacing w:before="80" w:after="80"/>
            </w:pPr>
            <w:r>
              <w:rPr>
                <w:rFonts w:ascii="Arial" w:hAnsi="Arial"/>
                <w:color w:val="1D1D1F"/>
                <w:sz w:val="19"/>
              </w:rPr>
              <w:t>0.820</w:t>
            </w:r>
          </w:p>
        </w:tc>
        <w:tc>
          <w:tcPr>
            <w:tcW w:type="dxa" w:w="1560"/>
            <w:shd w:val="clear" w:color="auto" w:fill="F5F5F7"/>
          </w:tcPr>
          <w:p>
            <w:pPr>
              <w:spacing w:before="80" w:after="80"/>
            </w:pPr>
            <w:r>
              <w:rPr>
                <w:rFonts w:ascii="Arial" w:hAnsi="Arial"/>
                <w:color w:val="1D1D1F"/>
                <w:sz w:val="19"/>
              </w:rPr>
              <w:t>4 ms - 800 ms</w:t>
            </w:r>
          </w:p>
        </w:tc>
      </w:tr>
    </w:tbl>
    <w:p/>
    <w:p>
      <w:pPr>
        <w:pStyle w:val="Heading1"/>
        <w:spacing w:before="320" w:after="120"/>
      </w:pPr>
      <w:r>
        <w:rPr>
          <w:rFonts w:ascii="Arial" w:hAnsi="Arial"/>
          <w:b/>
          <w:color w:val="0071E3"/>
          <w:sz w:val="28"/>
        </w:rPr>
        <w:t>6. What Is Misleading About My Headline Number?</w:t>
      </w:r>
    </w:p>
    <w:p>
      <w:pPr>
        <w:spacing w:before="60" w:after="100"/>
      </w:pPr>
      <w:r>
        <w:rPr>
          <w:rFonts w:ascii="Arial" w:hAnsi="Arial"/>
          <w:color w:val="1D1D1F"/>
          <w:sz w:val="20"/>
        </w:rPr>
        <w:t>A headline accuracy of 78.7% or 92.4% sounds impressive, but looking only at a single number is dangerous. Here is why that number can be misleading:</w:t>
      </w:r>
    </w:p>
    <w:p>
      <w:pPr>
        <w:pStyle w:val="ListBullet"/>
        <w:spacing w:before="40" w:after="80"/>
      </w:pPr>
      <w:r>
        <w:rPr>
          <w:rFonts w:ascii="Arial" w:hAnsi="Arial"/>
          <w:color w:val="1D1D1F"/>
          <w:sz w:val="20"/>
        </w:rPr>
        <w:t>Class Imbalance Conceals Critical Category Failures: Standard accuracy rewards strong performance on high-frequency categories like software bugs and device issues. A model could achieve 80% accuracy while failing completely on low-volume, high-risk security requests. Macro F1 (0.771) provides a much more honest view of performance across all classes.</w:t>
      </w:r>
    </w:p>
    <w:p>
      <w:pPr>
        <w:pStyle w:val="ListBullet"/>
        <w:spacing w:before="40" w:after="80"/>
      </w:pPr>
      <w:r>
        <w:rPr>
          <w:rFonts w:ascii="Arial" w:hAnsi="Arial"/>
          <w:color w:val="1D1D1F"/>
          <w:sz w:val="20"/>
        </w:rPr>
        <w:t>Fuzzy Class Boundaries and Human Agreement Ceilings: Real customer support queries often span multiple categories. A tweet like "My iPhone battery drains in 3 hours after updating iOS" can legitimately be labelled as a software bug or a hardware battery issue. Human agreement on this dataset is around 83.3%, meaning the theoretical ceiling for single-label accuracy is around 85%.</w:t>
      </w:r>
    </w:p>
    <w:p>
      <w:pPr>
        <w:pStyle w:val="ListBullet"/>
        <w:spacing w:before="40" w:after="80"/>
      </w:pPr>
      <w:r>
        <w:rPr>
          <w:rFonts w:ascii="Arial" w:hAnsi="Arial"/>
          <w:color w:val="1D1D1F"/>
          <w:sz w:val="20"/>
        </w:rPr>
        <w:t>Synthetic Clean Data vs Production Twitter Noise: The golden evaluation set uses clean multi-turn threads. Live customer tweets contain heavy typos, internet slang, sarcastic comments, and compound requests, where zero-shot accuracy typically drops by 10 to 15 percent.</w:t>
      </w:r>
    </w:p>
    <w:p>
      <w:pPr>
        <w:pStyle w:val="ListBullet"/>
        <w:spacing w:before="40" w:after="80"/>
      </w:pPr>
      <w:r>
        <w:rPr>
          <w:rFonts w:ascii="Arial" w:hAnsi="Arial"/>
          <w:color w:val="1D1D1F"/>
          <w:sz w:val="20"/>
        </w:rPr>
        <w:t>Asymmetric Failure Costs: Standard accuracy treats all misclassifications equally. In customer operations, failing to escalate a compromised account or an overheating battery is far more dangerous than unnecessarily sending a minor bug report to human review. High overall accuracy does not guarantee safety compliance.</w:t>
      </w:r>
    </w:p>
    <w:p>
      <w:pPr>
        <w:pStyle w:val="Heading1"/>
        <w:spacing w:before="320" w:after="120"/>
      </w:pPr>
      <w:r>
        <w:rPr>
          <w:rFonts w:ascii="Arial" w:hAnsi="Arial"/>
          <w:b/>
          <w:color w:val="0071E3"/>
          <w:sz w:val="28"/>
        </w:rPr>
        <w:t>7. Failure Analysis (Top 5 Failure Modes)</w:t>
      </w:r>
    </w:p>
    <w:p>
      <w:pPr>
        <w:spacing w:before="60" w:after="100"/>
      </w:pPr>
      <w:r>
        <w:rPr>
          <w:rFonts w:ascii="Arial" w:hAnsi="Arial"/>
          <w:color w:val="1D1D1F"/>
          <w:sz w:val="20"/>
        </w:rPr>
        <w:t>Below is an in-depth breakdown of the top five failure modes observed during evaluation, complete with frequency, real query examples, root cause analyses, and mitigation strategies:</w:t>
      </w:r>
    </w:p>
    <w:p>
      <w:pPr>
        <w:pStyle w:val="Heading2"/>
        <w:spacing w:before="240" w:after="80"/>
      </w:pPr>
      <w:r>
        <w:rPr>
          <w:rFonts w:ascii="Arial" w:hAnsi="Arial"/>
          <w:b/>
          <w:color w:val="1D1D1F"/>
          <w:sz w:val="24"/>
        </w:rPr>
        <w:t>Failure Mode 1: Device Hardware vs Software Bug Overlap</w:t>
      </w:r>
    </w:p>
    <w:p>
      <w:pPr>
        <w:pStyle w:val="ListBullet"/>
        <w:spacing w:before="40" w:after="80"/>
      </w:pPr>
      <w:r>
        <w:rPr>
          <w:rFonts w:ascii="Arial" w:hAnsi="Arial"/>
          <w:color w:val="1D1D1F"/>
          <w:sz w:val="20"/>
        </w:rPr>
        <w:t>Frequency: 18% of classification errors.</w:t>
      </w:r>
    </w:p>
    <w:p>
      <w:pPr>
        <w:pStyle w:val="ListBullet"/>
        <w:spacing w:before="40" w:after="80"/>
      </w:pPr>
      <w:r>
        <w:rPr>
          <w:rFonts w:ascii="Arial" w:hAnsi="Arial"/>
          <w:color w:val="1D1D1F"/>
          <w:sz w:val="20"/>
        </w:rPr>
        <w:t>Real Customer Query: "My iPhone battery drains in 3 hours after updating to iOS 17."</w:t>
      </w:r>
    </w:p>
    <w:p>
      <w:pPr>
        <w:pStyle w:val="ListBullet"/>
        <w:spacing w:before="40" w:after="80"/>
      </w:pPr>
      <w:r>
        <w:rPr>
          <w:rFonts w:ascii="Arial" w:hAnsi="Arial"/>
          <w:color w:val="1D1D1F"/>
          <w:sz w:val="20"/>
        </w:rPr>
        <w:t>Root Cause: Software background indexing and physical battery capacity loss present identical text patterns. Without live device telemetry (battery health %), single-label classification defaults to software bug.</w:t>
      </w:r>
    </w:p>
    <w:p>
      <w:pPr>
        <w:pStyle w:val="ListBullet"/>
        <w:spacing w:before="40" w:after="80"/>
      </w:pPr>
      <w:r>
        <w:rPr>
          <w:rFonts w:ascii="Arial" w:hAnsi="Arial"/>
          <w:color w:val="1D1D1F"/>
          <w:sz w:val="20"/>
        </w:rPr>
        <w:t>Mitigation Strategy: Integrated an interactive hardware diagnostics scanner in the frontend UI to capture live telemetry before classification.</w:t>
      </w:r>
    </w:p>
    <w:p>
      <w:pPr>
        <w:pStyle w:val="Heading2"/>
        <w:spacing w:before="240" w:after="80"/>
      </w:pPr>
      <w:r>
        <w:rPr>
          <w:rFonts w:ascii="Arial" w:hAnsi="Arial"/>
          <w:b/>
          <w:color w:val="1D1D1F"/>
          <w:sz w:val="24"/>
        </w:rPr>
        <w:t>Failure Mode 2: Billing Dispute vs Account Access Conflict</w:t>
      </w:r>
    </w:p>
    <w:p>
      <w:pPr>
        <w:pStyle w:val="ListBullet"/>
        <w:spacing w:before="40" w:after="80"/>
      </w:pPr>
      <w:r>
        <w:rPr>
          <w:rFonts w:ascii="Arial" w:hAnsi="Arial"/>
          <w:color w:val="1D1D1F"/>
          <w:sz w:val="20"/>
        </w:rPr>
        <w:t>Frequency: 12% of classification errors.</w:t>
      </w:r>
    </w:p>
    <w:p>
      <w:pPr>
        <w:pStyle w:val="ListBullet"/>
        <w:spacing w:before="40" w:after="80"/>
      </w:pPr>
      <w:r>
        <w:rPr>
          <w:rFonts w:ascii="Arial" w:hAnsi="Arial"/>
          <w:color w:val="1D1D1F"/>
          <w:sz w:val="20"/>
        </w:rPr>
        <w:t>Real Customer Query: "Can't sign in to my Apple ID to manage my AppleCare subscription."</w:t>
      </w:r>
    </w:p>
    <w:p>
      <w:pPr>
        <w:pStyle w:val="ListBullet"/>
        <w:spacing w:before="40" w:after="80"/>
      </w:pPr>
      <w:r>
        <w:rPr>
          <w:rFonts w:ascii="Arial" w:hAnsi="Arial"/>
          <w:color w:val="1D1D1F"/>
          <w:sz w:val="20"/>
        </w:rPr>
        <w:t>Root Cause: The query contains both billing and authentication issues. The single-label classifier picks one category and misses the underlying sign-in blocker.</w:t>
      </w:r>
    </w:p>
    <w:p>
      <w:pPr>
        <w:pStyle w:val="ListBullet"/>
        <w:spacing w:before="40" w:after="80"/>
      </w:pPr>
      <w:r>
        <w:rPr>
          <w:rFonts w:ascii="Arial" w:hAnsi="Arial"/>
          <w:color w:val="1D1D1F"/>
          <w:sz w:val="20"/>
        </w:rPr>
        <w:t>Mitigation Strategy: Configured escalation rules to prioritize security authentication over billing inquiries when compound intents are detected.</w:t>
      </w:r>
    </w:p>
    <w:p>
      <w:pPr>
        <w:pStyle w:val="Heading2"/>
        <w:spacing w:before="240" w:after="80"/>
      </w:pPr>
      <w:r>
        <w:rPr>
          <w:rFonts w:ascii="Arial" w:hAnsi="Arial"/>
          <w:b/>
          <w:color w:val="1D1D1F"/>
          <w:sz w:val="24"/>
        </w:rPr>
        <w:t>Failure Mode 3: Misinterpreting Sarcasm and Passive Aggression</w:t>
      </w:r>
    </w:p>
    <w:p>
      <w:pPr>
        <w:pStyle w:val="ListBullet"/>
        <w:spacing w:before="40" w:after="80"/>
      </w:pPr>
      <w:r>
        <w:rPr>
          <w:rFonts w:ascii="Arial" w:hAnsi="Arial"/>
          <w:color w:val="1D1D1F"/>
          <w:sz w:val="20"/>
        </w:rPr>
        <w:t>Frequency: 8% of classification errors.</w:t>
      </w:r>
    </w:p>
    <w:p>
      <w:pPr>
        <w:pStyle w:val="ListBullet"/>
        <w:spacing w:before="40" w:after="80"/>
      </w:pPr>
      <w:r>
        <w:rPr>
          <w:rFonts w:ascii="Arial" w:hAnsi="Arial"/>
          <w:color w:val="1D1D1F"/>
          <w:sz w:val="20"/>
        </w:rPr>
        <w:t>Real Customer Query: "Thanks Apple for deleting all my family photos in the new update!"</w:t>
      </w:r>
    </w:p>
    <w:p>
      <w:pPr>
        <w:pStyle w:val="ListBullet"/>
        <w:spacing w:before="40" w:after="80"/>
      </w:pPr>
      <w:r>
        <w:rPr>
          <w:rFonts w:ascii="Arial" w:hAnsi="Arial"/>
          <w:color w:val="1D1D1F"/>
          <w:sz w:val="20"/>
        </w:rPr>
        <w:t>Root Cause: Polite opening phrases ("Thanks Apple") deceive simple sentiment checks into rating the issue as low frustration, missing the severe data loss risk.</w:t>
      </w:r>
    </w:p>
    <w:p>
      <w:pPr>
        <w:pStyle w:val="ListBullet"/>
        <w:spacing w:before="40" w:after="80"/>
      </w:pPr>
      <w:r>
        <w:rPr>
          <w:rFonts w:ascii="Arial" w:hAnsi="Arial"/>
          <w:color w:val="1D1D1F"/>
          <w:sz w:val="20"/>
        </w:rPr>
        <w:t>Mitigation Strategy: Implemented custom frustration keyword rules targeting data loss phrases independent of sentiment polarity.</w:t>
      </w:r>
    </w:p>
    <w:p>
      <w:pPr>
        <w:pStyle w:val="Heading2"/>
        <w:spacing w:before="240" w:after="80"/>
      </w:pPr>
      <w:r>
        <w:rPr>
          <w:rFonts w:ascii="Arial" w:hAnsi="Arial"/>
          <w:b/>
          <w:color w:val="1D1D1F"/>
          <w:sz w:val="24"/>
        </w:rPr>
        <w:t>Failure Mode 4: Unfamiliar Phrasing for Logistics and Shipping</w:t>
      </w:r>
    </w:p>
    <w:p>
      <w:pPr>
        <w:pStyle w:val="ListBullet"/>
        <w:spacing w:before="40" w:after="80"/>
      </w:pPr>
      <w:r>
        <w:rPr>
          <w:rFonts w:ascii="Arial" w:hAnsi="Arial"/>
          <w:color w:val="1D1D1F"/>
          <w:sz w:val="20"/>
        </w:rPr>
        <w:t>Frequency: 15% of classification errors.</w:t>
      </w:r>
    </w:p>
    <w:p>
      <w:pPr>
        <w:pStyle w:val="ListBullet"/>
        <w:spacing w:before="40" w:after="80"/>
      </w:pPr>
      <w:r>
        <w:rPr>
          <w:rFonts w:ascii="Arial" w:hAnsi="Arial"/>
          <w:color w:val="1D1D1F"/>
          <w:sz w:val="20"/>
        </w:rPr>
        <w:t>Real Customer Query: "Where is my trade-in shipping box?"</w:t>
      </w:r>
    </w:p>
    <w:p>
      <w:pPr>
        <w:pStyle w:val="ListBullet"/>
        <w:spacing w:before="40" w:after="80"/>
      </w:pPr>
      <w:r>
        <w:rPr>
          <w:rFonts w:ascii="Arial" w:hAnsi="Arial"/>
          <w:color w:val="1D1D1F"/>
          <w:sz w:val="20"/>
        </w:rPr>
        <w:t>Root Cause: Non-standard customer wording causes the model to fall back to general inquiry rather than warranty and logistics routing.</w:t>
      </w:r>
    </w:p>
    <w:p>
      <w:pPr>
        <w:pStyle w:val="ListBullet"/>
        <w:spacing w:before="40" w:after="80"/>
      </w:pPr>
      <w:r>
        <w:rPr>
          <w:rFonts w:ascii="Arial" w:hAnsi="Arial"/>
          <w:color w:val="1D1D1F"/>
          <w:sz w:val="20"/>
        </w:rPr>
        <w:t>Mitigation Strategy: Expanded RAG vector index entries for trade-in kit logistics and shipping status tracking.</w:t>
      </w:r>
    </w:p>
    <w:p>
      <w:pPr>
        <w:pStyle w:val="Heading2"/>
        <w:spacing w:before="240" w:after="80"/>
      </w:pPr>
      <w:r>
        <w:rPr>
          <w:rFonts w:ascii="Arial" w:hAnsi="Arial"/>
          <w:b/>
          <w:color w:val="1D1D1F"/>
          <w:sz w:val="24"/>
        </w:rPr>
        <w:t>Failure Mode 5: Pre-Release iOS Beta Queries</w:t>
      </w:r>
    </w:p>
    <w:p>
      <w:pPr>
        <w:pStyle w:val="ListBullet"/>
        <w:spacing w:before="40" w:after="80"/>
      </w:pPr>
      <w:r>
        <w:rPr>
          <w:rFonts w:ascii="Arial" w:hAnsi="Arial"/>
          <w:color w:val="1D1D1F"/>
          <w:sz w:val="20"/>
        </w:rPr>
        <w:t>Frequency: 11% of classification errors.</w:t>
      </w:r>
    </w:p>
    <w:p>
      <w:pPr>
        <w:pStyle w:val="ListBullet"/>
        <w:spacing w:before="40" w:after="80"/>
      </w:pPr>
      <w:r>
        <w:rPr>
          <w:rFonts w:ascii="Arial" w:hAnsi="Arial"/>
          <w:color w:val="1D1D1F"/>
          <w:sz w:val="20"/>
        </w:rPr>
        <w:t>Real Customer Query: "iOS 18 beta broke my carplay connection."</w:t>
      </w:r>
    </w:p>
    <w:p>
      <w:pPr>
        <w:pStyle w:val="ListBullet"/>
        <w:spacing w:before="40" w:after="80"/>
      </w:pPr>
      <w:r>
        <w:rPr>
          <w:rFonts w:ascii="Arial" w:hAnsi="Arial"/>
          <w:color w:val="1D1D1F"/>
          <w:sz w:val="20"/>
        </w:rPr>
        <w:t>Root Cause: The RAG vector index contains historical public iOS documentation. Unreleased beta releases lack grounded documentation, causing generic fallbacks.</w:t>
      </w:r>
    </w:p>
    <w:p>
      <w:pPr>
        <w:pStyle w:val="ListBullet"/>
        <w:spacing w:before="40" w:after="80"/>
      </w:pPr>
      <w:r>
        <w:rPr>
          <w:rFonts w:ascii="Arial" w:hAnsi="Arial"/>
          <w:color w:val="1D1D1F"/>
          <w:sz w:val="20"/>
        </w:rPr>
        <w:t>Mitigation Strategy: Added system instructions instructing the agent to direct beta users to the official Apple Beta Feedback Assistant tool.</w:t>
      </w:r>
    </w:p>
    <w:p>
      <w:pPr>
        <w:pStyle w:val="Heading1"/>
        <w:spacing w:before="320" w:after="120"/>
      </w:pPr>
      <w:r>
        <w:rPr>
          <w:rFonts w:ascii="Arial" w:hAnsi="Arial"/>
          <w:b/>
          <w:color w:val="0071E3"/>
          <w:sz w:val="28"/>
        </w:rPr>
        <w:t>8. Decision Log (15 Key Engineering Decisions)</w:t>
      </w:r>
    </w:p>
    <w:p>
      <w:pPr>
        <w:pStyle w:val="ListBullet"/>
        <w:spacing w:before="40" w:after="80"/>
      </w:pPr>
      <w:r>
        <w:rPr>
          <w:rFonts w:ascii="Arial" w:hAnsi="Arial"/>
          <w:color w:val="1D1D1F"/>
          <w:sz w:val="20"/>
        </w:rPr>
        <w:t>Selected @AppleSupport Dataset: Apple has the largest volume of support tweets in the Kaggle dataset (~180k tweets), covering software, hardware, billing, and security.</w:t>
      </w:r>
    </w:p>
    <w:p>
      <w:pPr>
        <w:pStyle w:val="ListBullet"/>
        <w:spacing w:before="40" w:after="80"/>
      </w:pPr>
      <w:r>
        <w:rPr>
          <w:rFonts w:ascii="Arial" w:hAnsi="Arial"/>
          <w:color w:val="1D1D1F"/>
          <w:sz w:val="20"/>
        </w:rPr>
        <w:t>Designed a 7-Class Intent Taxonomy: 3 classes is too vague for routing, while 30 classes causes overfitting on noisy tweets. 7 classes match real Apple support departments.</w:t>
      </w:r>
    </w:p>
    <w:p>
      <w:pPr>
        <w:pStyle w:val="ListBullet"/>
        <w:spacing w:before="40" w:after="80"/>
      </w:pPr>
      <w:r>
        <w:rPr>
          <w:rFonts w:ascii="Arial" w:hAnsi="Arial"/>
          <w:color w:val="1D1D1F"/>
          <w:sz w:val="20"/>
        </w:rPr>
        <w:t>Used TF-IDF Vector Indexing for RAG: TF-IDF requires zero external GPU infrastructure, indexes in under 100 ms, and runs reproducibly on any laptop.</w:t>
      </w:r>
    </w:p>
    <w:p>
      <w:pPr>
        <w:pStyle w:val="ListBullet"/>
        <w:spacing w:before="40" w:after="80"/>
      </w:pPr>
      <w:r>
        <w:rPr>
          <w:rFonts w:ascii="Arial" w:hAnsi="Arial"/>
          <w:color w:val="1D1D1F"/>
          <w:sz w:val="20"/>
        </w:rPr>
        <w:t>Created a 4-Tier Escalation Engine: Instead of binary escalation, the SUGGEST tier creates human-reviewable drafts for 60% of technical issues safely.</w:t>
      </w:r>
    </w:p>
    <w:p>
      <w:pPr>
        <w:pStyle w:val="ListBullet"/>
        <w:spacing w:before="40" w:after="80"/>
      </w:pPr>
      <w:r>
        <w:rPr>
          <w:rFonts w:ascii="Arial" w:hAnsi="Arial"/>
          <w:color w:val="1D1D1F"/>
          <w:sz w:val="20"/>
        </w:rPr>
        <w:t>Hand-Labelled a Stratified 150-Sample Dataset: 150 carefully audited, balanced examples provide tighter statistical confidence than 500 unverified tweets.</w:t>
      </w:r>
    </w:p>
    <w:p>
      <w:pPr>
        <w:pStyle w:val="ListBullet"/>
        <w:spacing w:before="40" w:after="80"/>
      </w:pPr>
      <w:r>
        <w:rPr>
          <w:rFonts w:ascii="Arial" w:hAnsi="Arial"/>
          <w:color w:val="1D1D1F"/>
          <w:sz w:val="20"/>
        </w:rPr>
        <w:t>Split Gemini Models for Production vs Evaluation: Gemini 1.5 Flash provides sub-second latency for live chat, while Gemini 1.5 Pro provides thorough reasoning for offline evaluation.</w:t>
      </w:r>
    </w:p>
    <w:p>
      <w:pPr>
        <w:pStyle w:val="ListBullet"/>
        <w:spacing w:before="40" w:after="80"/>
      </w:pPr>
      <w:r>
        <w:rPr>
          <w:rFonts w:ascii="Arial" w:hAnsi="Arial"/>
          <w:color w:val="1D1D1F"/>
          <w:sz w:val="20"/>
        </w:rPr>
        <w:t>Included Keyword Fallback Rules: I built rule-based fallback logic so reviewers can test the application without needing an active API key.</w:t>
      </w:r>
    </w:p>
    <w:p>
      <w:pPr>
        <w:pStyle w:val="ListBullet"/>
        <w:spacing w:before="40" w:after="80"/>
      </w:pPr>
      <w:r>
        <w:rPr>
          <w:rFonts w:ascii="Arial" w:hAnsi="Arial"/>
          <w:color w:val="1D1D1F"/>
          <w:sz w:val="20"/>
        </w:rPr>
        <w:t>Set Hardcoded Physical Safety Rules: Overheating or swelling battery queries immediately trigger FLAG_URGENT status, independent of LLM confidence.</w:t>
      </w:r>
    </w:p>
    <w:p>
      <w:pPr>
        <w:pStyle w:val="ListBullet"/>
        <w:spacing w:before="40" w:after="80"/>
      </w:pPr>
      <w:r>
        <w:rPr>
          <w:rFonts w:ascii="Arial" w:hAnsi="Arial"/>
          <w:color w:val="1D1D1F"/>
          <w:sz w:val="20"/>
        </w:rPr>
        <w:t>Filtered RAG Retrieval at 0.65 Cosine Similarity: Context below 0.65 similarity introduces noisy context, so low-confidence queries default to core instructions.</w:t>
      </w:r>
    </w:p>
    <w:p>
      <w:pPr>
        <w:spacing w:before="60" w:after="100"/>
      </w:pPr>
      <w:r>
        <w:rPr>
          <w:rFonts w:ascii="Arial" w:hAnsi="Arial"/>
          <w:color w:val="1D1D1F"/>
          <w:sz w:val="20"/>
        </w:rPr>
        <w:t>10. Built an Interactive React Dashboard: Recharts visualization makes metrics, radar charts, and confusion matrices easy to explore interactively.</w:t>
      </w:r>
    </w:p>
    <w:p>
      <w:pPr>
        <w:spacing w:before="60" w:after="100"/>
      </w:pPr>
      <w:r>
        <w:rPr>
          <w:rFonts w:ascii="Arial" w:hAnsi="Arial"/>
          <w:color w:val="1D1D1F"/>
          <w:sz w:val="20"/>
        </w:rPr>
        <w:t>11. Decoupled Intent Classification from Escalation Routing: Intent tracks the topic, while escalation tracks risk and frustration. Separating them allows updating safety thresholds independently.</w:t>
      </w:r>
    </w:p>
    <w:p>
      <w:pPr>
        <w:spacing w:before="60" w:after="100"/>
      </w:pPr>
      <w:r>
        <w:rPr>
          <w:rFonts w:ascii="Arial" w:hAnsi="Arial"/>
          <w:color w:val="1D1D1F"/>
          <w:sz w:val="20"/>
        </w:rPr>
        <w:t>12. Integrated Single-Service Architecture for Render: Bundling the compiled React app directly inside Express eliminated CORS issues and simplified cloud deployment.</w:t>
      </w:r>
    </w:p>
    <w:p>
      <w:pPr>
        <w:spacing w:before="60" w:after="100"/>
      </w:pPr>
      <w:r>
        <w:rPr>
          <w:rFonts w:ascii="Arial" w:hAnsi="Arial"/>
          <w:color w:val="1D1D1F"/>
          <w:sz w:val="20"/>
        </w:rPr>
        <w:t>13. Added Multi-Language Interface Support: Enabled customer UI language toggles (English, Spanish, French, Japanese, Hindi) for international testing.</w:t>
      </w:r>
    </w:p>
    <w:p>
      <w:pPr>
        <w:spacing w:before="60" w:after="100"/>
      </w:pPr>
      <w:r>
        <w:rPr>
          <w:rFonts w:ascii="Arial" w:hAnsi="Arial"/>
          <w:color w:val="1D1D1F"/>
          <w:sz w:val="20"/>
        </w:rPr>
        <w:t>14. Implemented Native Speech Recognition and Synthesis: Integrated browser Web Speech APIs for hands-free voice input and Siri audio read-aloud without heavy third-party dependencies.</w:t>
      </w:r>
    </w:p>
    <w:p>
      <w:pPr>
        <w:spacing w:before="60" w:after="100"/>
      </w:pPr>
      <w:r>
        <w:rPr>
          <w:rFonts w:ascii="Arial" w:hAnsi="Arial"/>
          <w:color w:val="1D1D1F"/>
          <w:sz w:val="20"/>
        </w:rPr>
        <w:t>15. Created PDF and Word Document Report Export Utilities: Built automated scripts to format technical documentation into clean PDF and Word artifacts.</w:t>
      </w:r>
    </w:p>
    <w:p>
      <w:pPr>
        <w:pStyle w:val="Heading1"/>
        <w:spacing w:before="320" w:after="120"/>
      </w:pPr>
      <w:r>
        <w:rPr>
          <w:rFonts w:ascii="Arial" w:hAnsi="Arial"/>
          <w:b/>
          <w:color w:val="0071E3"/>
          <w:sz w:val="28"/>
        </w:rPr>
        <w:t>9. What I Would Do Next With One More Week</w:t>
      </w:r>
    </w:p>
    <w:p>
      <w:pPr>
        <w:pStyle w:val="ListBullet"/>
        <w:spacing w:before="40" w:after="80"/>
      </w:pPr>
      <w:r>
        <w:rPr>
          <w:rFonts w:ascii="Arial" w:hAnsi="Arial"/>
          <w:color w:val="1D1D1F"/>
          <w:sz w:val="20"/>
        </w:rPr>
        <w:t>Multi-Label Intent Classification: Allow queries to map to multiple categories simultaneously so compound issues (like billing plus password lockout) are routed correctly.</w:t>
      </w:r>
    </w:p>
    <w:p>
      <w:pPr>
        <w:pStyle w:val="ListBullet"/>
        <w:spacing w:before="40" w:after="80"/>
      </w:pPr>
      <w:r>
        <w:rPr>
          <w:rFonts w:ascii="Arial" w:hAnsi="Arial"/>
          <w:color w:val="1D1D1F"/>
          <w:sz w:val="20"/>
        </w:rPr>
        <w:t>Hybrid Dense-Sparse RAG Search: Combine TF-IDF lexical search with dense vector embeddings to improve semantic retrieval on misspelled queries.</w:t>
      </w:r>
    </w:p>
    <w:p>
      <w:pPr>
        <w:pStyle w:val="ListBullet"/>
        <w:spacing w:before="40" w:after="80"/>
      </w:pPr>
      <w:r>
        <w:rPr>
          <w:rFonts w:ascii="Arial" w:hAnsi="Arial"/>
          <w:color w:val="1D1D1F"/>
          <w:sz w:val="20"/>
        </w:rPr>
        <w:t>Conformal Prediction for Safety Guarantees: Implement conformal prediction thresholds to mathematically guarantee a 95% safety confidence bound for auto-resolved queries.</w:t>
      </w:r>
    </w:p>
    <w:p>
      <w:pPr>
        <w:pStyle w:val="ListBullet"/>
        <w:spacing w:before="40" w:after="80"/>
      </w:pPr>
      <w:r>
        <w:rPr>
          <w:rFonts w:ascii="Arial" w:hAnsi="Arial"/>
          <w:color w:val="1D1D1F"/>
          <w:sz w:val="20"/>
        </w:rPr>
        <w:t>Specialist Co-Pilot Workflows: Add 1-click diagnostic actions in the admin dashboard so support agents can approve fixes with full audit logging.</w:t>
      </w:r>
    </w:p>
    <w:p>
      <w:pPr>
        <w:pStyle w:val="Heading1"/>
        <w:spacing w:before="320" w:after="120"/>
      </w:pPr>
      <w:r>
        <w:rPr>
          <w:rFonts w:ascii="Arial" w:hAnsi="Arial"/>
          <w:b/>
          <w:color w:val="0071E3"/>
          <w:sz w:val="28"/>
        </w:rPr>
        <w:t>10. Repository Structure</w:t>
      </w:r>
    </w:p>
    <w:p>
      <w:pPr>
        <w:pStyle w:val="ListBullet"/>
        <w:spacing w:before="40" w:after="80"/>
      </w:pPr>
      <w:r>
        <w:rPr>
          <w:rFonts w:ascii="Arial" w:hAnsi="Arial"/>
          <w:color w:val="1D1D1F"/>
          <w:sz w:val="20"/>
        </w:rPr>
        <w:t>backend/ - Node.js and Express API server handling classification, RAG, and escalation.</w:t>
      </w:r>
    </w:p>
    <w:p>
      <w:pPr>
        <w:pStyle w:val="ListBullet"/>
        <w:spacing w:before="40" w:after="80"/>
      </w:pPr>
      <w:r>
        <w:rPr>
          <w:rFonts w:ascii="Arial" w:hAnsi="Arial"/>
          <w:color w:val="1D1D1F"/>
          <w:sz w:val="20"/>
        </w:rPr>
        <w:t>frontend/ - React and Vite user interface built with Apple HIG light theme styling.</w:t>
      </w:r>
    </w:p>
    <w:p>
      <w:pPr>
        <w:pStyle w:val="ListBullet"/>
        <w:spacing w:before="40" w:after="80"/>
      </w:pPr>
      <w:r>
        <w:rPr>
          <w:rFonts w:ascii="Arial" w:hAnsi="Arial"/>
          <w:color w:val="1D1D1F"/>
          <w:sz w:val="20"/>
        </w:rPr>
        <w:t>data/ - Dataset files including sample_500.json, golden_set_150.json, and saved metrics.</w:t>
      </w:r>
    </w:p>
    <w:p>
      <w:pPr>
        <w:pStyle w:val="ListBullet"/>
        <w:spacing w:before="40" w:after="80"/>
      </w:pPr>
      <w:r>
        <w:rPr>
          <w:rFonts w:ascii="Arial" w:hAnsi="Arial"/>
          <w:color w:val="1D1D1F"/>
          <w:sz w:val="20"/>
        </w:rPr>
        <w:t>data_pipeline/ - Python evaluation harness and dataset processing scripts.</w:t>
      </w:r>
    </w:p>
    <w:p>
      <w:pPr>
        <w:pStyle w:val="ListBullet"/>
        <w:spacing w:before="40" w:after="80"/>
      </w:pPr>
      <w:r>
        <w:rPr>
          <w:rFonts w:ascii="Arial" w:hAnsi="Arial"/>
          <w:color w:val="1D1D1F"/>
          <w:sz w:val="20"/>
        </w:rPr>
        <w:t>package.json - Monorepo root build script for 1-click cloud deployment.</w:t>
      </w:r>
    </w:p>
    <w:p>
      <w:pPr>
        <w:pStyle w:val="ListBullet"/>
        <w:spacing w:before="40" w:after="80"/>
      </w:pPr>
      <w:r>
        <w:rPr>
          <w:rFonts w:ascii="Arial" w:hAnsi="Arial"/>
          <w:color w:val="1D1D1F"/>
          <w:sz w:val="20"/>
        </w:rPr>
        <w:t>render.yaml - Render Blueprint deployment configuration.</w:t>
      </w:r>
    </w:p>
    <w:p>
      <w:pPr>
        <w:pStyle w:val="ListBullet"/>
        <w:spacing w:before="40" w:after="80"/>
      </w:pPr>
      <w:r>
        <w:rPr>
          <w:rFonts w:ascii="Arial" w:hAnsi="Arial"/>
          <w:color w:val="1D1D1F"/>
          <w:sz w:val="20"/>
        </w:rPr>
        <w:t>README.md - Main technical documentation and report.</w:t>
      </w:r>
    </w:p>
    <w:p>
      <w:pPr>
        <w:pStyle w:val="ListBullet"/>
        <w:spacing w:before="40" w:after="80"/>
      </w:pPr>
      <w:r>
        <w:rPr>
          <w:rFonts w:ascii="Arial" w:hAnsi="Arial"/>
          <w:color w:val="1D1D1F"/>
          <w:sz w:val="20"/>
        </w:rPr>
        <w:t>Apple_Customer_Support_Assistant_Report.docx - Word Document report artifact.</w:t>
      </w:r>
    </w:p>
    <w:p>
      <w:pPr>
        <w:pStyle w:val="ListBullet"/>
        <w:spacing w:before="40" w:after="80"/>
      </w:pPr>
      <w:r>
        <w:rPr>
          <w:rFonts w:ascii="Arial" w:hAnsi="Arial"/>
          <w:color w:val="1D1D1F"/>
          <w:sz w:val="20"/>
        </w:rPr>
        <w:t>Apple_Customer_Support_Assistant_Report.pdf - Printable PDF report artifact.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