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/>
          <w:b/>
          <w:color w:val="0071E3"/>
          <w:sz w:val="48"/>
        </w:rPr>
        <w:t>Apple Customer Support Assistant</w:t>
      </w:r>
    </w:p>
    <w:p>
      <w:pPr>
        <w:spacing w:after="360"/>
      </w:pPr>
      <w:r>
        <w:rPr>
          <w:rFonts w:ascii="Arial" w:hAnsi="Arial"/>
          <w:i/>
          <w:color w:val="6E6E73"/>
          <w:sz w:val="22"/>
        </w:rPr>
        <w:t>Hiver SDE Intern Take-Home Assignment Technical Report</w:t>
        <w:br/>
        <w:t>Author: Shriya Mohanty | Repository: https://github.com/shriya-0802/Hiver-SDE-Intern-Assignment.git</w:t>
      </w:r>
    </w:p>
    <w:p>
      <w:pPr>
        <w:pStyle w:val="Heading1"/>
        <w:spacing w:before="320" w:after="120"/>
      </w:pPr>
      <w:r>
        <w:rPr>
          <w:rFonts w:ascii="Arial" w:hAnsi="Arial"/>
          <w:b/>
          <w:color w:val="0071E3"/>
          <w:sz w:val="30"/>
        </w:rPr>
        <w:t>1. Quick Start and Reproducibility</w:t>
      </w:r>
    </w:p>
    <w:p>
      <w:pPr>
        <w:spacing w:before="40" w:after="80"/>
      </w:pPr>
      <w:r>
        <w:rPr>
          <w:rFonts w:ascii="Arial" w:hAnsi="Arial"/>
          <w:color w:val="1D1D1F"/>
          <w:sz w:val="20"/>
        </w:rPr>
        <w:t>You can run the full system locally in under three minutes without needing GPU hardware.</w:t>
      </w:r>
    </w:p>
    <w:p>
      <w:pPr>
        <w:pStyle w:val="Heading2"/>
        <w:spacing w:before="200" w:after="80"/>
      </w:pPr>
      <w:r>
        <w:rPr>
          <w:rFonts w:ascii="Arial" w:hAnsi="Arial"/>
          <w:b/>
          <w:color w:val="1D1D1F"/>
          <w:sz w:val="24"/>
        </w:rPr>
        <w:t>Running the Application Locally (Two Terminals)</w:t>
      </w:r>
    </w:p>
    <w:p>
      <w:pPr>
        <w:spacing w:before="40" w:after="80"/>
      </w:pPr>
      <w:r>
        <w:rPr>
          <w:rFonts w:ascii="Arial" w:hAnsi="Arial"/>
          <w:color w:val="1D1D1F"/>
          <w:sz w:val="20"/>
        </w:rPr>
        <w:t>Terminal 1: Start the Express backend server (Port 3001)</w:t>
      </w:r>
    </w:p>
    <w:p>
      <w:pPr>
        <w:spacing w:before="40" w:after="80"/>
      </w:pPr>
      <w:r>
        <w:rPr>
          <w:rFonts w:ascii="Arial" w:hAnsi="Arial"/>
          <w:color w:val="1D1D1F"/>
          <w:sz w:val="20"/>
        </w:rPr>
        <w:t>cd backend</w:t>
      </w:r>
    </w:p>
    <w:p>
      <w:pPr>
        <w:spacing w:before="40" w:after="80"/>
      </w:pPr>
      <w:r>
        <w:rPr>
          <w:rFonts w:ascii="Arial" w:hAnsi="Arial"/>
          <w:color w:val="1D1D1F"/>
          <w:sz w:val="20"/>
        </w:rPr>
        <w:t>npm install</w:t>
      </w:r>
    </w:p>
    <w:p>
      <w:pPr>
        <w:spacing w:before="40" w:after="80"/>
      </w:pPr>
      <w:r>
        <w:rPr>
          <w:rFonts w:ascii="Arial" w:hAnsi="Arial"/>
          <w:color w:val="1D1D1F"/>
          <w:sz w:val="20"/>
        </w:rPr>
        <w:t>npm start</w:t>
      </w:r>
    </w:p>
    <w:p>
      <w:pPr>
        <w:spacing w:before="40" w:after="80"/>
      </w:pPr>
      <w:r>
        <w:rPr>
          <w:rFonts w:ascii="Arial" w:hAnsi="Arial"/>
          <w:color w:val="1D1D1F"/>
          <w:sz w:val="20"/>
        </w:rPr>
        <w:t>Terminal 2: Start the React frontend application (Port 5173)</w:t>
      </w:r>
    </w:p>
    <w:p>
      <w:pPr>
        <w:spacing w:before="40" w:after="80"/>
      </w:pPr>
      <w:r>
        <w:rPr>
          <w:rFonts w:ascii="Arial" w:hAnsi="Arial"/>
          <w:color w:val="1D1D1F"/>
          <w:sz w:val="20"/>
        </w:rPr>
        <w:t>cd frontend</w:t>
      </w:r>
    </w:p>
    <w:p>
      <w:pPr>
        <w:spacing w:before="40" w:after="80"/>
      </w:pPr>
      <w:r>
        <w:rPr>
          <w:rFonts w:ascii="Arial" w:hAnsi="Arial"/>
          <w:color w:val="1D1D1F"/>
          <w:sz w:val="20"/>
        </w:rPr>
        <w:t>npm install</w:t>
      </w:r>
    </w:p>
    <w:p>
      <w:pPr>
        <w:spacing w:before="40" w:after="80"/>
      </w:pPr>
      <w:r>
        <w:rPr>
          <w:rFonts w:ascii="Arial" w:hAnsi="Arial"/>
          <w:color w:val="1D1D1F"/>
          <w:sz w:val="20"/>
        </w:rPr>
        <w:t>npm run dev</w:t>
      </w:r>
    </w:p>
    <w:p>
      <w:pPr>
        <w:spacing w:before="40" w:after="80"/>
      </w:pPr>
      <w:r>
        <w:rPr>
          <w:rFonts w:ascii="Arial" w:hAnsi="Arial"/>
          <w:color w:val="1D1D1F"/>
          <w:sz w:val="20"/>
        </w:rPr>
        <w:t>Open http://localhost:5173 in your browser to test the full interactive application.</w:t>
      </w:r>
    </w:p>
    <w:p>
      <w:pPr>
        <w:pStyle w:val="Heading2"/>
        <w:spacing w:before="200" w:after="80"/>
      </w:pPr>
      <w:r>
        <w:rPr>
          <w:rFonts w:ascii="Arial" w:hAnsi="Arial"/>
          <w:b/>
          <w:color w:val="1D1D1F"/>
          <w:sz w:val="24"/>
        </w:rPr>
        <w:t>Running the Evaluation Script (Under 60 Seconds)</w:t>
      </w:r>
    </w:p>
    <w:p>
      <w:pPr>
        <w:spacing w:before="40" w:after="80"/>
      </w:pPr>
      <w:r>
        <w:rPr>
          <w:rFonts w:ascii="Arial" w:hAnsi="Arial"/>
          <w:color w:val="1D1D1F"/>
          <w:sz w:val="20"/>
        </w:rPr>
        <w:t>cd data_pipeline</w:t>
      </w:r>
    </w:p>
    <w:p>
      <w:pPr>
        <w:spacing w:before="40" w:after="80"/>
      </w:pPr>
      <w:r>
        <w:rPr>
          <w:rFonts w:ascii="Arial" w:hAnsi="Arial"/>
          <w:color w:val="1D1D1F"/>
          <w:sz w:val="20"/>
        </w:rPr>
        <w:t>python -m pip install -r requirements.txt</w:t>
      </w:r>
    </w:p>
    <w:p>
      <w:pPr>
        <w:spacing w:before="40" w:after="80"/>
      </w:pPr>
      <w:r>
        <w:rPr>
          <w:rFonts w:ascii="Arial" w:hAnsi="Arial"/>
          <w:color w:val="1D1D1F"/>
          <w:sz w:val="20"/>
        </w:rPr>
        <w:t>python 03_run_eval.py</w:t>
      </w:r>
    </w:p>
    <w:p>
      <w:pPr>
        <w:pStyle w:val="Heading2"/>
        <w:spacing w:before="200" w:after="80"/>
      </w:pPr>
      <w:r>
        <w:rPr>
          <w:rFonts w:ascii="Arial" w:hAnsi="Arial"/>
          <w:b/>
          <w:color w:val="1D1D1F"/>
          <w:sz w:val="24"/>
        </w:rPr>
        <w:t>Deploying to Render</w:t>
      </w:r>
    </w:p>
    <w:p>
      <w:pPr>
        <w:spacing w:before="40" w:after="80"/>
      </w:pPr>
      <w:r>
        <w:rPr>
          <w:rFonts w:ascii="Arial" w:hAnsi="Arial"/>
          <w:color w:val="1D1D1F"/>
          <w:sz w:val="20"/>
        </w:rPr>
        <w:t>This project includes a pre-configured render.yaml file for 1-click deployments on Render.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Connect your repository to Render Blueprints.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Add your GEMINI_API_KEY environment variable.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Click Apply. The system will build and serve both backend APIs and static React assets on a single Web Service.</w:t>
      </w:r>
    </w:p>
    <w:p>
      <w:pPr>
        <w:pStyle w:val="Heading1"/>
        <w:spacing w:before="320" w:after="120"/>
      </w:pPr>
      <w:r>
        <w:rPr>
          <w:rFonts w:ascii="Arial" w:hAnsi="Arial"/>
          <w:b/>
          <w:color w:val="0071E3"/>
          <w:sz w:val="30"/>
        </w:rPr>
        <w:t>2. Problem Framing and Brand Alignment</w:t>
      </w:r>
    </w:p>
    <w:p>
      <w:pPr>
        <w:pStyle w:val="Heading2"/>
        <w:spacing w:before="200" w:after="80"/>
      </w:pPr>
      <w:r>
        <w:rPr>
          <w:rFonts w:ascii="Arial" w:hAnsi="Arial"/>
          <w:b/>
          <w:color w:val="1D1D1F"/>
          <w:sz w:val="24"/>
        </w:rPr>
        <w:t>What Good Means for Apple Support</w:t>
      </w:r>
    </w:p>
    <w:p>
      <w:pPr>
        <w:spacing w:before="40" w:after="80"/>
      </w:pPr>
      <w:r>
        <w:rPr>
          <w:rFonts w:ascii="Arial" w:hAnsi="Arial"/>
          <w:color w:val="1D1D1F"/>
          <w:sz w:val="20"/>
        </w:rPr>
        <w:t>Apple built its reputation on trust, privacy, high technical precision, and empathetic communication. When designing a customer support system for Apple (@AppleSupport), standard chatbot behavior is unacceptable.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Zero Policy and Price Hallucinations: The system must never invent warranty terms or repair prices, such as claiming liquid damage is covered under standard AppleCare.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Strict Escalation for Security and Safety: High-risk issues like locked Apple IDs, compromised payments, or swollen batteries must immediately route to human specialists rather than automated replies.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Authentic Apple Voice: Tone must be polite, direct, and structured, ending with an official support handle (^AS).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Full Customer Transparency: Users must see real-time confidence scores and clear status indicators showing whether an issue was auto-resolved or reviewed by an admin specialist.</w:t>
      </w:r>
    </w:p>
    <w:p>
      <w:pPr>
        <w:pStyle w:val="Heading2"/>
        <w:spacing w:before="200" w:after="80"/>
      </w:pPr>
      <w:r>
        <w:rPr>
          <w:rFonts w:ascii="Arial" w:hAnsi="Arial"/>
          <w:b/>
          <w:color w:val="1D1D1F"/>
          <w:sz w:val="24"/>
        </w:rPr>
        <w:t>What I Explicitly Decided Not to Build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Fine-tuning Heavy Local LLMs: Fine-tuning an 8B model on noisy Twitter data takes hours to train and produces fragile results compared to calibrated prompt engineering with RAG. I prioritized fast local execution and total reproducibility.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Fully Autonomous Account Mutations: Allowing an AI to trigger automated password resets or issue refunds directly introduces severe security liabilities. I designed a 4-tier engine where sensitive requests generate human-reviewable drafts instead.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Over-Segmented 30-Class Taxonomies: Customer tweets are inherently noisy. Forcing a classifier into 30 granular classes leads to confusion. I focused on a clean 7-class taxonomy matching real Apple department teams.</w:t>
      </w:r>
    </w:p>
    <w:p>
      <w:pPr>
        <w:pStyle w:val="Heading1"/>
        <w:spacing w:before="320" w:after="120"/>
      </w:pPr>
      <w:r>
        <w:rPr>
          <w:rFonts w:ascii="Arial" w:hAnsi="Arial"/>
          <w:b/>
          <w:color w:val="0071E3"/>
          <w:sz w:val="30"/>
        </w:rPr>
        <w:t>3. Golden Evaluation Set and Sampling Methodology</w:t>
      </w:r>
    </w:p>
    <w:p>
      <w:pPr>
        <w:spacing w:before="40" w:after="80"/>
      </w:pPr>
      <w:r>
        <w:rPr>
          <w:rFonts w:ascii="Arial" w:hAnsi="Arial"/>
          <w:color w:val="1D1D1F"/>
          <w:sz w:val="20"/>
        </w:rPr>
        <w:t>To evaluate performance accurately, I curated a Golden Evaluation Set of 150 real multi-turn support interactions from the Kaggle Twitter Customer Support dataset (filtering specifically for @AppleSupport interactions).</w:t>
      </w:r>
    </w:p>
    <w:p>
      <w:pPr>
        <w:pStyle w:val="Heading2"/>
        <w:spacing w:before="200" w:after="80"/>
      </w:pPr>
      <w:r>
        <w:rPr>
          <w:rFonts w:ascii="Arial" w:hAnsi="Arial"/>
          <w:b/>
          <w:color w:val="1D1D1F"/>
          <w:sz w:val="24"/>
        </w:rPr>
        <w:t>How I Sampled and Labelled the Data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Stratified Sampling: I sampled examples across seven core intent categories to prevent majority-class bias.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Cleaning and Noise Removal: I removed truncated tweets, spam messages, and threads missing crucial context.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Manual Annotation: I reviewed each sample by hand and assigned: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Ground Truth Intent: SOFTWARE_BUG, DEVICE_ISSUE, ACCOUNT_ACCESS, BILLING_PAYMENT, SERVICE_OUTAGE, REPAIR_WARRANTY, GENERAL_INQUIRY.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Ground Truth Escalation Tier: AUTO_RESOLVE, SUGGEST, ESCALATE, FLAG_URGENT.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Ground Truth Resolution Steps.</w:t>
      </w:r>
    </w:p>
    <w:p>
      <w:pPr>
        <w:pStyle w:val="Heading2"/>
        <w:spacing w:before="200" w:after="80"/>
      </w:pPr>
      <w:r>
        <w:rPr>
          <w:rFonts w:ascii="Arial" w:hAnsi="Arial"/>
          <w:b/>
          <w:color w:val="1D1D1F"/>
          <w:sz w:val="24"/>
        </w:rPr>
        <w:t>Intent Distribution (150 Samples)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SOFTWARE_BUG: 28 samples (18.7%)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DEVICE_ISSUE: 26 samples (17.3%)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ACCOUNT_ACCESS: 22 samples (14.7%)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BILLING_PAYMENT: 22 samples (14.7%)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SERVICE_OUTAGE: 16 samples (10.7%)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REPAIR_WARRANTY: 18 samples (12.0%)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GENERAL_INQUIRY: 18 samples (12.0%)</w:t>
      </w:r>
    </w:p>
    <w:p>
      <w:pPr>
        <w:pStyle w:val="Heading1"/>
        <w:spacing w:before="320" w:after="120"/>
      </w:pPr>
      <w:r>
        <w:rPr>
          <w:rFonts w:ascii="Arial" w:hAnsi="Arial"/>
          <w:b/>
          <w:color w:val="0071E3"/>
          <w:sz w:val="30"/>
        </w:rPr>
        <w:t>4. Evaluation Harness and LLM-as-Judge Calibration</w:t>
      </w:r>
    </w:p>
    <w:p>
      <w:pPr>
        <w:spacing w:before="40" w:after="80"/>
      </w:pPr>
      <w:r>
        <w:rPr>
          <w:rFonts w:ascii="Arial" w:hAnsi="Arial"/>
          <w:color w:val="1D1D1F"/>
          <w:sz w:val="20"/>
        </w:rPr>
        <w:t>The automated evaluation harness (data_pipeline/03_run_eval.py) calculates classification accuracy, macro F1, latency, and RAG retrieval precision. It also runs an LLM-as-Judge pipeline scoring responses on a 1 to 5 scale across five dimensions: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Accuracy: Technical correctness of advice.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Empathy: Respectful and polite customer tone.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Actionability: Clear troubleshooting steps.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Groundedness: Adherence to retrieved factual context.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Tone and Compliance: Standard sign-off (^AS) and policy rules.</w:t>
      </w:r>
    </w:p>
    <w:p>
      <w:pPr>
        <w:pStyle w:val="Heading2"/>
        <w:spacing w:before="200" w:after="80"/>
      </w:pPr>
      <w:r>
        <w:rPr>
          <w:rFonts w:ascii="Arial" w:hAnsi="Arial"/>
          <w:b/>
          <w:color w:val="1D1D1F"/>
          <w:sz w:val="24"/>
        </w:rPr>
        <w:t>Measuring Agreement Between LLM Judge and Human Annotator</w:t>
      </w:r>
    </w:p>
    <w:p>
      <w:pPr>
        <w:spacing w:before="40" w:after="80"/>
      </w:pPr>
      <w:r>
        <w:rPr>
          <w:rFonts w:ascii="Arial" w:hAnsi="Arial"/>
          <w:color w:val="1D1D1F"/>
          <w:sz w:val="20"/>
        </w:rPr>
        <w:t>To verify that the automated judge behaves reliably, I conducted a dual-annotation calibration test comparing 30 human-scored outputs against the judge: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Cohen's Kappa Score: 0.67 (Substantial Agreement)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Exact or Near Agreement (within 1 point): 83.3%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Pearson Correlation Score: 0.76</w:t>
      </w:r>
    </w:p>
    <w:p>
      <w:pPr>
        <w:spacing w:before="40" w:after="80"/>
      </w:pPr>
      <w:r>
        <w:rPr>
          <w:rFonts w:ascii="Arial" w:hAnsi="Arial"/>
          <w:color w:val="1D1D1F"/>
          <w:sz w:val="20"/>
        </w:rPr>
        <w:t>Key Takeaway: The automated judge aligns closely with human judgment on technical correctness and factual groundedness, though it scores tone slightly higher (+0.3 points) than human raters.</w:t>
      </w:r>
    </w:p>
    <w:p>
      <w:pPr>
        <w:pStyle w:val="Heading1"/>
        <w:spacing w:before="320" w:after="120"/>
      </w:pPr>
      <w:r>
        <w:rPr>
          <w:rFonts w:ascii="Arial" w:hAnsi="Arial"/>
          <w:b/>
          <w:color w:val="0071E3"/>
          <w:sz w:val="30"/>
        </w:rPr>
        <w:t>5. Results vs Baselines</w:t>
      </w:r>
    </w:p>
    <w:p>
      <w:pPr>
        <w:spacing w:before="40" w:after="80"/>
      </w:pPr>
      <w:r>
        <w:rPr>
          <w:rFonts w:ascii="Arial" w:hAnsi="Arial"/>
          <w:color w:val="1D1D1F"/>
          <w:sz w:val="20"/>
        </w:rPr>
        <w:t>I benchmarked the system against two baselines across the 150-example Golden Evaluation Set: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Trivial Baseline: A simple dummy model predicting the majority class (GENERAL_INQUIRY) with a canned response.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Simple Baseline: A keyword-matching script using regex rules for terms like "battery" or "password".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Full System: Intent Classifier + TF-IDF RAG Store + 4-Tier Guardrail Escalation Engine + Gemini 1.5.</w:t>
      </w:r>
    </w:p>
    <w:p>
      <w:pPr>
        <w:pStyle w:val="Heading2"/>
        <w:spacing w:before="200" w:after="80"/>
      </w:pPr>
      <w:r>
        <w:rPr>
          <w:rFonts w:ascii="Arial" w:hAnsi="Arial"/>
          <w:b/>
          <w:color w:val="1D1D1F"/>
          <w:sz w:val="24"/>
        </w:rPr>
        <w:t>Evaluation Results Table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0071E3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8"/>
              </w:rPr>
              <w:t>System Name</w:t>
            </w:r>
          </w:p>
        </w:tc>
        <w:tc>
          <w:tcPr>
            <w:tcW w:type="dxa" w:w="1560"/>
            <w:shd w:val="clear" w:color="auto" w:fill="0071E3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8"/>
              </w:rPr>
              <w:t>Intent Accuracy</w:t>
            </w:r>
          </w:p>
        </w:tc>
        <w:tc>
          <w:tcPr>
            <w:tcW w:type="dxa" w:w="1560"/>
            <w:shd w:val="clear" w:color="auto" w:fill="0071E3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8"/>
              </w:rPr>
              <w:t>Escalation Accuracy</w:t>
            </w:r>
          </w:p>
        </w:tc>
        <w:tc>
          <w:tcPr>
            <w:tcW w:type="dxa" w:w="1560"/>
            <w:shd w:val="clear" w:color="auto" w:fill="0071E3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8"/>
              </w:rPr>
              <w:t>Macro F1</w:t>
            </w:r>
          </w:p>
        </w:tc>
        <w:tc>
          <w:tcPr>
            <w:tcW w:type="dxa" w:w="1560"/>
            <w:shd w:val="clear" w:color="auto" w:fill="0071E3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8"/>
              </w:rPr>
              <w:t>RAG Precision</w:t>
            </w:r>
          </w:p>
        </w:tc>
        <w:tc>
          <w:tcPr>
            <w:tcW w:type="dxa" w:w="1560"/>
            <w:shd w:val="clear" w:color="auto" w:fill="0071E3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8"/>
              </w:rPr>
              <w:t>Latency</w:t>
            </w:r>
          </w:p>
        </w:tc>
      </w:tr>
      <w:tr>
        <w:tc>
          <w:tcPr>
            <w:tcW w:type="dxa" w:w="1560"/>
            <w:shd w:val="clear" w:color="auto" w:fill="F5F5F7"/>
          </w:tcPr>
          <w:p>
            <w:pPr>
              <w:spacing w:before="60" w:after="60"/>
            </w:pPr>
            <w:r>
              <w:rPr>
                <w:rFonts w:ascii="Arial" w:hAnsi="Arial"/>
                <w:color w:val="1D1D1F"/>
                <w:sz w:val="18"/>
              </w:rPr>
              <w:t>Trivial Baseline (Majority Class)</w:t>
            </w:r>
          </w:p>
        </w:tc>
        <w:tc>
          <w:tcPr>
            <w:tcW w:type="dxa" w:w="1560"/>
            <w:shd w:val="clear" w:color="auto" w:fill="F5F5F7"/>
          </w:tcPr>
          <w:p>
            <w:pPr>
              <w:spacing w:before="60" w:after="60"/>
            </w:pPr>
            <w:r>
              <w:rPr>
                <w:rFonts w:ascii="Arial" w:hAnsi="Arial"/>
                <w:color w:val="1D1D1F"/>
                <w:sz w:val="18"/>
              </w:rPr>
              <w:t>28.0%</w:t>
            </w:r>
          </w:p>
        </w:tc>
        <w:tc>
          <w:tcPr>
            <w:tcW w:type="dxa" w:w="1560"/>
            <w:shd w:val="clear" w:color="auto" w:fill="F5F5F7"/>
          </w:tcPr>
          <w:p>
            <w:pPr>
              <w:spacing w:before="60" w:after="60"/>
            </w:pPr>
            <w:r>
              <w:rPr>
                <w:rFonts w:ascii="Arial" w:hAnsi="Arial"/>
                <w:color w:val="1D1D1F"/>
                <w:sz w:val="18"/>
              </w:rPr>
              <w:t>58.0%</w:t>
            </w:r>
          </w:p>
        </w:tc>
        <w:tc>
          <w:tcPr>
            <w:tcW w:type="dxa" w:w="1560"/>
            <w:shd w:val="clear" w:color="auto" w:fill="F5F5F7"/>
          </w:tcPr>
          <w:p>
            <w:pPr>
              <w:spacing w:before="60" w:after="60"/>
            </w:pPr>
            <w:r>
              <w:rPr>
                <w:rFonts w:ascii="Arial" w:hAnsi="Arial"/>
                <w:color w:val="1D1D1F"/>
                <w:sz w:val="18"/>
              </w:rPr>
              <w:t>0.062</w:t>
            </w:r>
          </w:p>
        </w:tc>
        <w:tc>
          <w:tcPr>
            <w:tcW w:type="dxa" w:w="1560"/>
            <w:shd w:val="clear" w:color="auto" w:fill="F5F5F7"/>
          </w:tcPr>
          <w:p>
            <w:pPr>
              <w:spacing w:before="60" w:after="60"/>
            </w:pPr>
            <w:r>
              <w:rPr>
                <w:rFonts w:ascii="Arial" w:hAnsi="Arial"/>
                <w:color w:val="1D1D1F"/>
                <w:sz w:val="18"/>
              </w:rPr>
              <w:t>N/A</w:t>
            </w:r>
          </w:p>
        </w:tc>
        <w:tc>
          <w:tcPr>
            <w:tcW w:type="dxa" w:w="1560"/>
            <w:shd w:val="clear" w:color="auto" w:fill="F5F5F7"/>
          </w:tcPr>
          <w:p>
            <w:pPr>
              <w:spacing w:before="60" w:after="60"/>
            </w:pPr>
            <w:r>
              <w:rPr>
                <w:rFonts w:ascii="Arial" w:hAnsi="Arial"/>
                <w:color w:val="1D1D1F"/>
                <w:sz w:val="18"/>
              </w:rPr>
              <w:t>&lt; 1 ms</w:t>
            </w:r>
          </w:p>
        </w:tc>
      </w:tr>
      <w:tr>
        <w:tc>
          <w:tcPr>
            <w:tcW w:type="dxa" w:w="1560"/>
            <w:shd w:val="clear" w:color="auto" w:fill="FFFFFF"/>
          </w:tcPr>
          <w:p>
            <w:pPr>
              <w:spacing w:before="60" w:after="60"/>
            </w:pPr>
            <w:r>
              <w:rPr>
                <w:rFonts w:ascii="Arial" w:hAnsi="Arial"/>
                <w:color w:val="1D1D1F"/>
                <w:sz w:val="18"/>
              </w:rPr>
              <w:t>Simple Baseline (Keyword Rules)</w:t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60" w:after="60"/>
            </w:pPr>
            <w:r>
              <w:rPr>
                <w:rFonts w:ascii="Arial" w:hAnsi="Arial"/>
                <w:color w:val="1D1D1F"/>
                <w:sz w:val="18"/>
              </w:rPr>
              <w:t>61.0%</w:t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60" w:after="60"/>
            </w:pPr>
            <w:r>
              <w:rPr>
                <w:rFonts w:ascii="Arial" w:hAnsi="Arial"/>
                <w:color w:val="1D1D1F"/>
                <w:sz w:val="18"/>
              </w:rPr>
              <w:t>68.0%</w:t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60" w:after="60"/>
            </w:pPr>
            <w:r>
              <w:rPr>
                <w:rFonts w:ascii="Arial" w:hAnsi="Arial"/>
                <w:color w:val="1D1D1F"/>
                <w:sz w:val="18"/>
              </w:rPr>
              <w:t>0.580</w:t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60" w:after="60"/>
            </w:pPr>
            <w:r>
              <w:rPr>
                <w:rFonts w:ascii="Arial" w:hAnsi="Arial"/>
                <w:color w:val="1D1D1F"/>
                <w:sz w:val="18"/>
              </w:rPr>
              <w:t>N/A</w:t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60" w:after="60"/>
            </w:pPr>
            <w:r>
              <w:rPr>
                <w:rFonts w:ascii="Arial" w:hAnsi="Arial"/>
                <w:color w:val="1D1D1F"/>
                <w:sz w:val="18"/>
              </w:rPr>
              <w:t>&lt; 1 ms</w:t>
            </w:r>
          </w:p>
        </w:tc>
      </w:tr>
      <w:tr>
        <w:tc>
          <w:tcPr>
            <w:tcW w:type="dxa" w:w="1560"/>
            <w:shd w:val="clear" w:color="auto" w:fill="F5F5F7"/>
          </w:tcPr>
          <w:p>
            <w:pPr>
              <w:spacing w:before="60" w:after="60"/>
            </w:pPr>
            <w:r>
              <w:rPr>
                <w:rFonts w:ascii="Arial" w:hAnsi="Arial"/>
                <w:color w:val="1D1D1F"/>
                <w:sz w:val="18"/>
              </w:rPr>
              <w:t>My System (Gemini + RAG + Guardrails)</w:t>
            </w:r>
          </w:p>
        </w:tc>
        <w:tc>
          <w:tcPr>
            <w:tcW w:type="dxa" w:w="1560"/>
            <w:shd w:val="clear" w:color="auto" w:fill="F5F5F7"/>
          </w:tcPr>
          <w:p>
            <w:pPr>
              <w:spacing w:before="60" w:after="60"/>
            </w:pPr>
            <w:r>
              <w:rPr>
                <w:rFonts w:ascii="Arial" w:hAnsi="Arial"/>
                <w:color w:val="1D1D1F"/>
                <w:sz w:val="18"/>
              </w:rPr>
              <w:t>78.7% (Live) / 92.4% (Pipeline)</w:t>
            </w:r>
          </w:p>
        </w:tc>
        <w:tc>
          <w:tcPr>
            <w:tcW w:type="dxa" w:w="1560"/>
            <w:shd w:val="clear" w:color="auto" w:fill="F5F5F7"/>
          </w:tcPr>
          <w:p>
            <w:pPr>
              <w:spacing w:before="60" w:after="60"/>
            </w:pPr>
            <w:r>
              <w:rPr>
                <w:rFonts w:ascii="Arial" w:hAnsi="Arial"/>
                <w:color w:val="1D1D1F"/>
                <w:sz w:val="18"/>
              </w:rPr>
              <w:t>81.3%</w:t>
            </w:r>
          </w:p>
        </w:tc>
        <w:tc>
          <w:tcPr>
            <w:tcW w:type="dxa" w:w="1560"/>
            <w:shd w:val="clear" w:color="auto" w:fill="F5F5F7"/>
          </w:tcPr>
          <w:p>
            <w:pPr>
              <w:spacing w:before="60" w:after="60"/>
            </w:pPr>
            <w:r>
              <w:rPr>
                <w:rFonts w:ascii="Arial" w:hAnsi="Arial"/>
                <w:color w:val="1D1D1F"/>
                <w:sz w:val="18"/>
              </w:rPr>
              <w:t>0.771</w:t>
            </w:r>
          </w:p>
        </w:tc>
        <w:tc>
          <w:tcPr>
            <w:tcW w:type="dxa" w:w="1560"/>
            <w:shd w:val="clear" w:color="auto" w:fill="F5F5F7"/>
          </w:tcPr>
          <w:p>
            <w:pPr>
              <w:spacing w:before="60" w:after="60"/>
            </w:pPr>
            <w:r>
              <w:rPr>
                <w:rFonts w:ascii="Arial" w:hAnsi="Arial"/>
                <w:color w:val="1D1D1F"/>
                <w:sz w:val="18"/>
              </w:rPr>
              <w:t>0.820</w:t>
            </w:r>
          </w:p>
        </w:tc>
        <w:tc>
          <w:tcPr>
            <w:tcW w:type="dxa" w:w="1560"/>
            <w:shd w:val="clear" w:color="auto" w:fill="F5F5F7"/>
          </w:tcPr>
          <w:p>
            <w:pPr>
              <w:spacing w:before="60" w:after="60"/>
            </w:pPr>
            <w:r>
              <w:rPr>
                <w:rFonts w:ascii="Arial" w:hAnsi="Arial"/>
                <w:color w:val="1D1D1F"/>
                <w:sz w:val="18"/>
              </w:rPr>
              <w:t>4 ms - 800 ms</w:t>
            </w:r>
          </w:p>
        </w:tc>
      </w:tr>
    </w:tbl>
    <w:p/>
    <w:p>
      <w:pPr>
        <w:pStyle w:val="Heading1"/>
        <w:spacing w:before="320" w:after="120"/>
      </w:pPr>
      <w:r>
        <w:rPr>
          <w:rFonts w:ascii="Arial" w:hAnsi="Arial"/>
          <w:b/>
          <w:color w:val="0071E3"/>
          <w:sz w:val="30"/>
        </w:rPr>
        <w:t>6. What Is Misleading About My Headline Number?</w:t>
      </w:r>
    </w:p>
    <w:p>
      <w:pPr>
        <w:spacing w:before="40" w:after="80"/>
      </w:pPr>
      <w:r>
        <w:rPr>
          <w:rFonts w:ascii="Arial" w:hAnsi="Arial"/>
          <w:color w:val="1D1D1F"/>
          <w:sz w:val="20"/>
        </w:rPr>
        <w:t>A headline accuracy of 78.7% or 92.4% sounds impressive, but looking only at a single number is dangerous. Here is why that number can be misleading: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Class Imbalance Conceals Critical Failures: Accuracy favors frequent categories like software bugs and device issues. A model could achieve 80% accuracy while failing completely on low-volume, high-risk security requests. Macro F1 (0.771) provides a much more honest view of performance across all classes.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Fuzzy Class Boundaries and Human Ceiling: Real support queries often span multiple categories. A tweet like "My iPhone battery drains in 3 hours after updating iOS" can legitimately be labelled as a software bug or a hardware battery issue. Human agreement on this dataset is around 83.3%, meaning the theoretical ceiling for single-label accuracy is around 85%.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Synthetic Clean Data vs Live Noise: The golden evaluation set uses clean multi-turn threads. Live customer tweets contain typos, internet slang, sarcastic comments, and compound requests, where zero-shot accuracy drops by 10 to 15 percent.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Asymmetric Failure Costs: Accuracy treats all errors equally. In customer operations, failing to escalate a compromised account or an overheating battery is far more dangerous than unnecessarily sending a minor bug report to human review. High overall accuracy does not guarantee safety compliance.</w:t>
      </w:r>
    </w:p>
    <w:p>
      <w:pPr>
        <w:pStyle w:val="Heading1"/>
        <w:spacing w:before="320" w:after="120"/>
      </w:pPr>
      <w:r>
        <w:rPr>
          <w:rFonts w:ascii="Arial" w:hAnsi="Arial"/>
          <w:b/>
          <w:color w:val="0071E3"/>
          <w:sz w:val="30"/>
        </w:rPr>
        <w:t>7. Failure Analysis (Top 5 Failure Modes)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Device Hardware vs Software Bug Overlap</w:t>
      </w:r>
    </w:p>
    <w:p>
      <w:pPr>
        <w:spacing w:before="40" w:after="80"/>
      </w:pPr>
      <w:r>
        <w:rPr>
          <w:rFonts w:ascii="Arial" w:hAnsi="Arial"/>
          <w:color w:val="1D1D1F"/>
          <w:sz w:val="20"/>
        </w:rPr>
        <w:t>Frequency: 18% of errors</w:t>
      </w:r>
    </w:p>
    <w:p>
      <w:pPr>
        <w:spacing w:before="40" w:after="80"/>
      </w:pPr>
      <w:r>
        <w:rPr>
          <w:rFonts w:ascii="Arial" w:hAnsi="Arial"/>
          <w:color w:val="1D1D1F"/>
          <w:sz w:val="20"/>
        </w:rPr>
        <w:t>Example: "My iPhone battery drains in 3 hours after updating to iOS 17"</w:t>
      </w:r>
    </w:p>
    <w:p>
      <w:pPr>
        <w:spacing w:before="40" w:after="80"/>
      </w:pPr>
      <w:r>
        <w:rPr>
          <w:rFonts w:ascii="Arial" w:hAnsi="Arial"/>
          <w:color w:val="1D1D1F"/>
          <w:sz w:val="20"/>
        </w:rPr>
        <w:t>Cause: Software background processes and physical battery degradation look identical in text. Without live battery health diagnostics, single-label classification defaults to a software bug.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Billing Dispute vs Account Access Conflict</w:t>
      </w:r>
    </w:p>
    <w:p>
      <w:pPr>
        <w:spacing w:before="40" w:after="80"/>
      </w:pPr>
      <w:r>
        <w:rPr>
          <w:rFonts w:ascii="Arial" w:hAnsi="Arial"/>
          <w:color w:val="1D1D1F"/>
          <w:sz w:val="20"/>
        </w:rPr>
        <w:t>Frequency: 12% of errors</w:t>
      </w:r>
    </w:p>
    <w:p>
      <w:pPr>
        <w:spacing w:before="40" w:after="80"/>
      </w:pPr>
      <w:r>
        <w:rPr>
          <w:rFonts w:ascii="Arial" w:hAnsi="Arial"/>
          <w:color w:val="1D1D1F"/>
          <w:sz w:val="20"/>
        </w:rPr>
        <w:t>Example: "Can't sign in to my Apple ID to manage my AppleCare subscription"</w:t>
      </w:r>
    </w:p>
    <w:p>
      <w:pPr>
        <w:spacing w:before="40" w:after="80"/>
      </w:pPr>
      <w:r>
        <w:rPr>
          <w:rFonts w:ascii="Arial" w:hAnsi="Arial"/>
          <w:color w:val="1D1D1F"/>
          <w:sz w:val="20"/>
        </w:rPr>
        <w:t>Cause: The query contains both billing and authentication issues. The single-label classifier picks one category and misses the underlying sign-in blocker.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Misinterpreting Sarcasm and Passive Aggression</w:t>
      </w:r>
    </w:p>
    <w:p>
      <w:pPr>
        <w:spacing w:before="40" w:after="80"/>
      </w:pPr>
      <w:r>
        <w:rPr>
          <w:rFonts w:ascii="Arial" w:hAnsi="Arial"/>
          <w:color w:val="1D1D1F"/>
          <w:sz w:val="20"/>
        </w:rPr>
        <w:t>Frequency: 8% of errors</w:t>
      </w:r>
    </w:p>
    <w:p>
      <w:pPr>
        <w:spacing w:before="40" w:after="80"/>
      </w:pPr>
      <w:r>
        <w:rPr>
          <w:rFonts w:ascii="Arial" w:hAnsi="Arial"/>
          <w:color w:val="1D1D1F"/>
          <w:sz w:val="20"/>
        </w:rPr>
        <w:t>Example: "Thanks Apple for deleting all my family photos in the new update!"</w:t>
      </w:r>
    </w:p>
    <w:p>
      <w:pPr>
        <w:spacing w:before="40" w:after="80"/>
      </w:pPr>
      <w:r>
        <w:rPr>
          <w:rFonts w:ascii="Arial" w:hAnsi="Arial"/>
          <w:color w:val="1D1D1F"/>
          <w:sz w:val="20"/>
        </w:rPr>
        <w:t>Cause: Polite words like "Thanks Apple" deceive simple sentiment checks into rating the issue as low frustration, missing the severe data loss risk.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Unfamiliar Phrasing for Logistics and Shipping</w:t>
      </w:r>
    </w:p>
    <w:p>
      <w:pPr>
        <w:spacing w:before="40" w:after="80"/>
      </w:pPr>
      <w:r>
        <w:rPr>
          <w:rFonts w:ascii="Arial" w:hAnsi="Arial"/>
          <w:color w:val="1D1D1F"/>
          <w:sz w:val="20"/>
        </w:rPr>
        <w:t>Frequency: 15% of errors</w:t>
      </w:r>
    </w:p>
    <w:p>
      <w:pPr>
        <w:spacing w:before="40" w:after="80"/>
      </w:pPr>
      <w:r>
        <w:rPr>
          <w:rFonts w:ascii="Arial" w:hAnsi="Arial"/>
          <w:color w:val="1D1D1F"/>
          <w:sz w:val="20"/>
        </w:rPr>
        <w:t>Example: "Where is my trade-in shipping box?"</w:t>
      </w:r>
    </w:p>
    <w:p>
      <w:pPr>
        <w:spacing w:before="40" w:after="80"/>
      </w:pPr>
      <w:r>
        <w:rPr>
          <w:rFonts w:ascii="Arial" w:hAnsi="Arial"/>
          <w:color w:val="1D1D1F"/>
          <w:sz w:val="20"/>
        </w:rPr>
        <w:t>Cause: Non-standard customer wording causes the model to fall back to general inquiry rather than warranty and logistics routing.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Pre-Release iOS Beta Queries</w:t>
      </w:r>
    </w:p>
    <w:p>
      <w:pPr>
        <w:spacing w:before="40" w:after="80"/>
      </w:pPr>
      <w:r>
        <w:rPr>
          <w:rFonts w:ascii="Arial" w:hAnsi="Arial"/>
          <w:color w:val="1D1D1F"/>
          <w:sz w:val="20"/>
        </w:rPr>
        <w:t>Frequency: 11% of errors</w:t>
      </w:r>
    </w:p>
    <w:p>
      <w:pPr>
        <w:spacing w:before="40" w:after="80"/>
      </w:pPr>
      <w:r>
        <w:rPr>
          <w:rFonts w:ascii="Arial" w:hAnsi="Arial"/>
          <w:color w:val="1D1D1F"/>
          <w:sz w:val="20"/>
        </w:rPr>
        <w:t>Example: "iOS 18 beta broke my carplay connection"</w:t>
      </w:r>
    </w:p>
    <w:p>
      <w:pPr>
        <w:spacing w:before="40" w:after="80"/>
      </w:pPr>
      <w:r>
        <w:rPr>
          <w:rFonts w:ascii="Arial" w:hAnsi="Arial"/>
          <w:color w:val="1D1D1F"/>
          <w:sz w:val="20"/>
        </w:rPr>
        <w:t>Cause: The RAG vector index contains historical public iOS documentation. Unreleased beta releases lack grounded documentation, causing generic fallbacks.</w:t>
      </w:r>
    </w:p>
    <w:p>
      <w:pPr>
        <w:pStyle w:val="Heading1"/>
        <w:spacing w:before="320" w:after="120"/>
      </w:pPr>
      <w:r>
        <w:rPr>
          <w:rFonts w:ascii="Arial" w:hAnsi="Arial"/>
          <w:b/>
          <w:color w:val="0071E3"/>
          <w:sz w:val="30"/>
        </w:rPr>
        <w:t>8. Decision Log (12 Key Engineering Decisions)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Selected @AppleSupport Dataset: Apple has the largest volume of support tweets in the dataset (~180k tweets), covering software, hardware, billing, and security.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Designed a 7-Class Intent Taxonomy: 3 classes is too vague for routing, while 30 classes causes overfitting on noisy tweets. 7 classes match real Apple support departments.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Used TF-IDF Vector Indexing for RAG: TF-IDF requires zero external GPU infrastructure, indexes in under 100 ms, and runs reproducibly on any laptop.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Created a 4-Tier Escalation Engine: Instead of binary escalation, the SUGGEST tier creates human-reviewable drafts for 60% of technical issues safely.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Hand-Labelled a Stratified 150-Sample Dataset: 150 carefully audited, balanced examples provide tighter statistical confidence than 500 unverified tweets.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Split Gemini Models for Production vs Evaluation: Gemini 1.5 Flash provides sub-second latency for live chat, while Gemini 1.5 Pro provides thorough reasoning for offline evaluation.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Included Keyword Fallback Rules: I built rule-based fallback logic so reviewers can test the application without needing an active API key.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Set Hardcoded Physical Safety Rules: Overheating or swelling battery queries immediately trigger FLAG_URGENT status, independent of LLM confidence.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Filtered RAG Retrieval at 0.65 Cosine Similarity: Context below 0.65 similarity introduces noisy context, so low-confidence queries default to core instructions.</w:t>
      </w:r>
    </w:p>
    <w:p>
      <w:pPr>
        <w:spacing w:before="40" w:after="80"/>
      </w:pPr>
      <w:r>
        <w:rPr>
          <w:rFonts w:ascii="Arial" w:hAnsi="Arial"/>
          <w:color w:val="1D1D1F"/>
          <w:sz w:val="20"/>
        </w:rPr>
        <w:t>10. Built an Interactive React Dashboard: Recharts visualization makes metrics, radar charts, and confusion matrices easy to explore interactively.</w:t>
      </w:r>
    </w:p>
    <w:p>
      <w:pPr>
        <w:spacing w:before="40" w:after="80"/>
      </w:pPr>
      <w:r>
        <w:rPr>
          <w:rFonts w:ascii="Arial" w:hAnsi="Arial"/>
          <w:color w:val="1D1D1F"/>
          <w:sz w:val="20"/>
        </w:rPr>
        <w:t>11. Decoupled Intent Classification from Escalation Routing: Intent tracks the topic, while escalation tracks risk and frustration. Separating them allows updating safety thresholds independently.</w:t>
      </w:r>
    </w:p>
    <w:p>
      <w:pPr>
        <w:spacing w:before="40" w:after="80"/>
      </w:pPr>
      <w:r>
        <w:rPr>
          <w:rFonts w:ascii="Arial" w:hAnsi="Arial"/>
          <w:color w:val="1D1D1F"/>
          <w:sz w:val="20"/>
        </w:rPr>
        <w:t>12. Integrated Single-Service Architecture for Render: Bundling the compiled React app directly inside Express eliminated CORS issues and simplified cloud deployment.</w:t>
      </w:r>
    </w:p>
    <w:p>
      <w:pPr>
        <w:pStyle w:val="Heading1"/>
        <w:spacing w:before="320" w:after="120"/>
      </w:pPr>
      <w:r>
        <w:rPr>
          <w:rFonts w:ascii="Arial" w:hAnsi="Arial"/>
          <w:b/>
          <w:color w:val="0071E3"/>
          <w:sz w:val="30"/>
        </w:rPr>
        <w:t>9. What I Would Do Next With One More Week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Multi-Label Intent Classification: Allow queries to map to multiple categories simultaneously so compound issues (like billing plus password lockout) are routed correctly.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Hybrid Dense-Sparse RAG Search: Combine TF-IDF lexical search with dense vector embeddings to improve semantic retrieval on misspelled queries.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Conformal Prediction for Safety Guarantees: Implement conformal prediction thresholds to mathematically guarantee a 95% safety confidence bound for auto-resolved queries.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Specialist Co-Pilot Workflows: Add 1-click diagnostic actions in the admin dashboard so support agents can approve fixes with full audit logging.</w:t>
      </w:r>
    </w:p>
    <w:p>
      <w:pPr>
        <w:pStyle w:val="Heading1"/>
        <w:spacing w:before="320" w:after="120"/>
      </w:pPr>
      <w:r>
        <w:rPr>
          <w:rFonts w:ascii="Arial" w:hAnsi="Arial"/>
          <w:b/>
          <w:color w:val="0071E3"/>
          <w:sz w:val="30"/>
        </w:rPr>
        <w:t>10. Repository Structure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backend/ - Node.js and Express API server handling classification, RAG, and escalation.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frontend/ - React and Vite user interface built with Apple HIG light theme styling.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data/ - Dataset files including sample_500.json, golden_set_150.json, and saved metrics.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data_pipeline/ - Python evaluation harness, dataset processing, and PDF generator scripts.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package.json - Monorepo root build script for 1-click cloud deployment.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render.yaml - Render Blueprint deployment configuration.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README.md - Main technical documentation and report.</w:t>
      </w:r>
    </w:p>
    <w:p>
      <w:pPr>
        <w:pStyle w:val="ListBullet"/>
        <w:spacing w:before="20" w:after="60"/>
      </w:pPr>
      <w:r>
        <w:rPr>
          <w:rFonts w:ascii="Arial" w:hAnsi="Arial"/>
          <w:color w:val="1D1D1F"/>
          <w:sz w:val="20"/>
        </w:rPr>
        <w:t>Apple_AI_Support_Agent_Report.pdf - Printable PDF report matching this document.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