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20"/>
        <w:jc w:val="center"/>
      </w:pPr>
      <w:r>
        <w:rPr>
          <w:rFonts w:ascii="Arial" w:cs="Arial" w:eastAsia="Arial" w:hAnsi="Arial"/>
          <w:b/>
          <w:bCs/>
          <w:color w:val="1e40af"/>
          <w:sz w:val="52"/>
          <w:szCs w:val="52"/>
        </w:rPr>
        <w:t xml:space="preserve">ZERVE × ODSC AI DATATHON</w:t>
      </w:r>
    </w:p>
    <w:p>
      <w:pPr>
        <w:pBdr>
          <w:bottom w:val="single" w:color="1e40af" w:sz="6" w:space="8"/>
        </w:pBdr>
        <w:spacing w:after="300"/>
        <w:jc w:val="center"/>
      </w:pPr>
      <w:r>
        <w:rPr>
          <w:rFonts w:ascii="Arial" w:cs="Arial" w:eastAsia="Arial" w:hAnsi="Arial"/>
          <w:color w:val="64748b"/>
          <w:sz w:val="26"/>
          <w:szCs w:val="26"/>
        </w:rPr>
        <w:t xml:space="preserve">Predicting User Upgrades — Submission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3.5M+</w:t>
            </w:r>
          </w:p>
          <w:p>
            <w:pPr>
              <w:jc w:val="center"/>
            </w:pPr>
            <w:r>
              <w:rPr>
                <w:rFonts w:ascii="Arial" w:cs="Arial" w:eastAsia="Arial" w:hAnsi="Arial"/>
                <w:color w:val="64748b"/>
                <w:sz w:val="18"/>
                <w:szCs w:val="18"/>
              </w:rPr>
              <w:t xml:space="preserve">Events Analysed</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17,485</w:t>
            </w:r>
          </w:p>
          <w:p>
            <w:pPr>
              <w:jc w:val="center"/>
            </w:pPr>
            <w:r>
              <w:rPr>
                <w:rFonts w:ascii="Arial" w:cs="Arial" w:eastAsia="Arial" w:hAnsi="Arial"/>
                <w:color w:val="64748b"/>
                <w:sz w:val="18"/>
                <w:szCs w:val="18"/>
              </w:rPr>
              <w:t xml:space="preserve">Total Users</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0.853</w:t>
            </w:r>
          </w:p>
          <w:p>
            <w:pPr>
              <w:jc w:val="center"/>
            </w:pPr>
            <w:r>
              <w:rPr>
                <w:rFonts w:ascii="Arial" w:cs="Arial" w:eastAsia="Arial" w:hAnsi="Arial"/>
                <w:color w:val="64748b"/>
                <w:sz w:val="18"/>
                <w:szCs w:val="18"/>
              </w:rPr>
              <w:t xml:space="preserve">ROC-AUC</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2.8×</w:t>
            </w:r>
          </w:p>
          <w:p>
            <w:pPr>
              <w:jc w:val="center"/>
            </w:pPr>
            <w:r>
              <w:rPr>
                <w:rFonts w:ascii="Arial" w:cs="Arial" w:eastAsia="Arial" w:hAnsi="Arial"/>
                <w:color w:val="64748b"/>
                <w:sz w:val="18"/>
                <w:szCs w:val="18"/>
              </w:rPr>
              <w:t xml:space="preserve">Best Segment Lift</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360"/>
      </w:pPr>
      <w:r>
        <w:rPr>
          <w:rFonts w:ascii="Arial" w:cs="Arial" w:eastAsia="Arial" w:hAnsi="Arial"/>
          <w:b/>
          <w:bCs/>
          <w:color w:val="1e40af"/>
          <w:sz w:val="32"/>
          <w:szCs w:val="32"/>
        </w:rPr>
        <w:t xml:space="preserve">1. Overall Approach</w:t>
      </w:r>
    </w:p>
    <w:p>
      <w:pPr>
        <w:spacing w:after="100" w:before="60"/>
      </w:pPr>
      <w:r>
        <w:rPr>
          <w:rFonts w:ascii="Arial" w:cs="Arial" w:eastAsia="Arial" w:hAnsi="Arial"/>
          <w:b w:val="false"/>
          <w:bCs w:val="false"/>
          <w:color w:val="1e293b"/>
          <w:sz w:val="22"/>
          <w:szCs w:val="22"/>
        </w:rPr>
        <w:t xml:space="preserve">This submission analyses 3.5 million real Zerve product events to answer one core question: which free users are most likely to upgrade to a paid plan? The work delivers two outputs — an upgrade prediction model and a behavioural funnel — grounded in honest methodology.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2"/>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Core Design Principle</w:t>
            </w:r>
          </w:p>
          <w:p>
            <w:pPr>
              <w:spacing w:before="60"/>
            </w:pPr>
            <w:r>
              <w:rPr>
                <w:rFonts w:ascii="Arial" w:cs="Arial" w:eastAsia="Arial" w:hAnsi="Arial"/>
                <w:color w:val="1e293b"/>
                <w:sz w:val="21"/>
                <w:szCs w:val="21"/>
              </w:rPr>
              <w:t xml:space="preserve">We prioritised methodological rigour over metric inflation. A ROC-AUC of 0.853 built on clean, leakage-free data is more valuable than 0.95 achieved by accidentally including post-upgrade signals.</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1.1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Directory / File</w:t>
            </w:r>
          </w:p>
        </w:tc>
        <w:tc>
          <w:tcPr>
            <w:tcW w:type="dxa" w:w="65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Local references, schema notes, helper files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notebooks/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Exploratory analysis and experiments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src/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Reusable analysis, modelling, and funnel logic (15 Zerve blocks)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reports/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This report, charts, and export visuals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README.md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Submission overview and setup instructions</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1.2 Memory Optimisation</w:t>
      </w:r>
    </w:p>
    <w:p>
      <w:pPr>
        <w:spacing w:after="100" w:before="60"/>
      </w:pPr>
      <w:r>
        <w:rPr>
          <w:rFonts w:ascii="Arial" w:cs="Arial" w:eastAsia="Arial" w:hAnsi="Arial"/>
          <w:b w:val="false"/>
          <w:bCs w:val="false"/>
          <w:color w:val="1e293b"/>
          <w:sz w:val="22"/>
          <w:szCs w:val="22"/>
        </w:rPr>
        <w:t xml:space="preserve">The raw dataset has 83 columns across 3.5M rows. To avoid out-of-memory failures on Zerve, we load only the 7 columns required for analysis. This reduces memory footprint by approximately 80% and keeps every block under Zerve's lambda limit.</w:t>
      </w:r>
    </w:p>
    <w:p>
      <w:pPr>
        <w:pStyle w:val="ListParagraph"/>
        <w:numPr>
          <w:ilvl w:val="0"/>
          <w:numId w:val="2"/>
        </w:numPr>
        <w:spacing w:after="40" w:before="40"/>
      </w:pPr>
      <w:r>
        <w:rPr>
          <w:rFonts w:ascii="Arial" w:cs="Arial" w:eastAsia="Arial" w:hAnsi="Arial"/>
          <w:color w:val="1e293b"/>
          <w:sz w:val="22"/>
          <w:szCs w:val="22"/>
        </w:rPr>
        <w:t xml:space="preserve">Loaded columns: person_id, timestamp, event, and four person_properties fields</w:t>
      </w:r>
    </w:p>
    <w:p>
      <w:pPr>
        <w:pStyle w:val="ListParagraph"/>
        <w:numPr>
          <w:ilvl w:val="0"/>
          <w:numId w:val="2"/>
        </w:numPr>
        <w:spacing w:after="40" w:before="40"/>
      </w:pPr>
      <w:r>
        <w:rPr>
          <w:rFonts w:ascii="Arial" w:cs="Arial" w:eastAsia="Arial" w:hAnsi="Arial"/>
          <w:color w:val="1e293b"/>
          <w:sz w:val="22"/>
          <w:szCs w:val="22"/>
        </w:rPr>
        <w:t xml:space="preserve">Freed intermediate DataFrames after building the pre-upgrade table</w:t>
      </w:r>
    </w:p>
    <w:p>
      <w:pPr>
        <w:pStyle w:val="ListParagraph"/>
        <w:numPr>
          <w:ilvl w:val="0"/>
          <w:numId w:val="2"/>
        </w:numPr>
        <w:spacing w:after="40" w:before="40"/>
      </w:pPr>
      <w:r>
        <w:rPr>
          <w:rFonts w:ascii="Arial" w:cs="Arial" w:eastAsia="Arial" w:hAnsi="Arial"/>
          <w:color w:val="1e293b"/>
          <w:sz w:val="22"/>
          <w:szCs w:val="22"/>
        </w:rPr>
        <w:t xml:space="preserve">Used .first() instead of .agg(lambda) for person properties — eliminates the OOM-causing groupby lambda</w:t>
      </w:r>
    </w:p>
    <w:p>
      <w:r>
        <w:br w:type="page"/>
      </w:r>
    </w:p>
    <w:p>
      <w:pPr>
        <w:pStyle w:val="Heading1"/>
        <w:spacing w:after="160" w:before="360"/>
      </w:pPr>
      <w:r>
        <w:rPr>
          <w:rFonts w:ascii="Arial" w:cs="Arial" w:eastAsia="Arial" w:hAnsi="Arial"/>
          <w:b/>
          <w:bCs/>
          <w:color w:val="1e40af"/>
          <w:sz w:val="32"/>
          <w:szCs w:val="32"/>
        </w:rPr>
        <w:t xml:space="preserve">2. Predictive Setup &amp; Results</w:t>
      </w:r>
    </w:p>
    <w:p>
      <w:pPr>
        <w:pStyle w:val="Heading2"/>
        <w:spacing w:after="120" w:before="280"/>
      </w:pPr>
      <w:r>
        <w:rPr>
          <w:rFonts w:ascii="Arial" w:cs="Arial" w:eastAsia="Arial" w:hAnsi="Arial"/>
          <w:b/>
          <w:bCs/>
          <w:color w:val="1e293b"/>
          <w:sz w:val="26"/>
          <w:szCs w:val="26"/>
        </w:rPr>
        <w:t xml:space="preserve">2.1 Target Definition — Leakage Prevention</w:t>
      </w:r>
    </w:p>
    <w:p>
      <w:pPr>
        <w:spacing w:after="100" w:before="60"/>
      </w:pPr>
      <w:r>
        <w:rPr>
          <w:rFonts w:ascii="Arial" w:cs="Arial" w:eastAsia="Arial" w:hAnsi="Arial"/>
          <w:b w:val="false"/>
          <w:bCs w:val="false"/>
          <w:color w:val="1e293b"/>
          <w:sz w:val="22"/>
          <w:szCs w:val="22"/>
        </w:rPr>
        <w:t xml:space="preserve">Target leakage is the most common failure mode in churn/conversion models. We handled it as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23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39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 Find upgrade_ts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First upgrade_subscription or subscription_upgraded event per user</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Defines the exact moment each user converted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 Filter pre events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Keep events where timestamp &lt; upgrade_ts (or upgrade_ts is null)</w:t>
            </w:r>
          </w:p>
        </w:tc>
        <w:tc>
          <w:tcPr>
            <w:tcW w:type="dxa" w:w="3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Ensures no post-upgrade information leaks into features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 Remove leakage events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Drop subscription_cancelled, downgrade_subscription, renew_plan, auto_charge_enabled etc.</w:t>
            </w:r>
          </w:p>
        </w:tc>
        <w:tc>
          <w:tcPr>
            <w:tcW w:type="dxa" w:w="3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These events only fire after a paid subscription exists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 Verify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Assert leaked rows == 0</w:t>
            </w:r>
          </w:p>
        </w:tc>
        <w:tc>
          <w:tcPr>
            <w:tcW w:type="dxa" w:w="3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Explicit programmatic check, not just visual inspection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1,709,462</w:t>
            </w:r>
          </w:p>
          <w:p>
            <w:pPr>
              <w:jc w:val="center"/>
            </w:pPr>
            <w:r>
              <w:rPr>
                <w:rFonts w:ascii="Arial" w:cs="Arial" w:eastAsia="Arial" w:hAnsi="Arial"/>
                <w:color w:val="64748b"/>
                <w:sz w:val="18"/>
                <w:szCs w:val="18"/>
              </w:rPr>
              <w:t xml:space="preserve">Pre-upgrade rows kept</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841,284</w:t>
            </w:r>
          </w:p>
          <w:p>
            <w:pPr>
              <w:jc w:val="center"/>
            </w:pPr>
            <w:r>
              <w:rPr>
                <w:rFonts w:ascii="Arial" w:cs="Arial" w:eastAsia="Arial" w:hAnsi="Arial"/>
                <w:color w:val="64748b"/>
                <w:sz w:val="18"/>
                <w:szCs w:val="18"/>
              </w:rPr>
              <w:t xml:space="preserve">Post-upgrade dropped</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0</w:t>
            </w:r>
          </w:p>
          <w:p>
            <w:pPr>
              <w:jc w:val="center"/>
            </w:pPr>
            <w:r>
              <w:rPr>
                <w:rFonts w:ascii="Arial" w:cs="Arial" w:eastAsia="Arial" w:hAnsi="Arial"/>
                <w:color w:val="64748b"/>
                <w:sz w:val="18"/>
                <w:szCs w:val="18"/>
              </w:rPr>
              <w:t xml:space="preserve">Leaked rows (verified)</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922</w:t>
            </w:r>
          </w:p>
          <w:p>
            <w:pPr>
              <w:jc w:val="center"/>
            </w:pPr>
            <w:r>
              <w:rPr>
                <w:rFonts w:ascii="Arial" w:cs="Arial" w:eastAsia="Arial" w:hAnsi="Arial"/>
                <w:color w:val="64748b"/>
                <w:sz w:val="18"/>
                <w:szCs w:val="18"/>
              </w:rPr>
              <w:t xml:space="preserve">Upgraded users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2"/>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92400e"/>
                <w:sz w:val="22"/>
                <w:szCs w:val="22"/>
              </w:rPr>
              <w:t xml:space="preserve">Borderline Feature — clicked_upgrade</w:t>
            </w:r>
          </w:p>
          <w:p>
            <w:pPr>
              <w:spacing w:before="60"/>
            </w:pPr>
            <w:r>
              <w:rPr>
                <w:rFonts w:ascii="Arial" w:cs="Arial" w:eastAsia="Arial" w:hAnsi="Arial"/>
                <w:color w:val="1e293b"/>
                <w:sz w:val="21"/>
                <w:szCs w:val="21"/>
              </w:rPr>
              <w:t xml:space="preserve">We included clicked_upgrade_count as a feature. This is documented explicitly: it is counted only for events before upgrade_ts, and for non-converters it is a pure intent signal. A real production scoring system would have this information available. Judges can verify the timestamp filter in block identify_upgrade_events.</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2.2 Feature Engineering</w:t>
      </w:r>
    </w:p>
    <w:p>
      <w:pPr>
        <w:spacing w:after="100" w:before="60"/>
      </w:pPr>
      <w:r>
        <w:rPr>
          <w:rFonts w:ascii="Arial" w:cs="Arial" w:eastAsia="Arial" w:hAnsi="Arial"/>
          <w:b w:val="false"/>
          <w:bCs w:val="false"/>
          <w:color w:val="1e293b"/>
          <w:sz w:val="22"/>
          <w:szCs w:val="22"/>
        </w:rPr>
        <w:t xml:space="preserve">All 22 features are computed from the pre-upgrade event table only. Features span five families: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Family</w:t>
            </w:r>
          </w:p>
        </w:tc>
        <w:tc>
          <w:tcPr>
            <w:tcW w:type="dxa" w:w="36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Features</w:t>
            </w:r>
          </w:p>
        </w:tc>
        <w:tc>
          <w:tcPr>
            <w:tcW w:type="dxa" w:w="36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Volume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total_events, unique_event_types, events_per_day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How much the user engaged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Lifecycle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lifespan_days, days_active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Whether they returned over time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AI Usage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agent_actions, agent_tool_calls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Deepest product engagement — strongest predictor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Credit / Billing</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credits_used_count, credit_warning_count, addon_credits_count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Resource pressure = willingness to pay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Identity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role, purpose, work_type, source (encoded)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Who the user is — independent of behaviour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Combos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power_and_warned, high_agent_high_credits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Interaction of strongest signals — 2.8x lift</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2.3 Model</w:t>
      </w:r>
    </w:p>
    <w:p>
      <w:pPr>
        <w:spacing w:after="100" w:before="60"/>
      </w:pPr>
      <w:r>
        <w:rPr>
          <w:rFonts w:ascii="Arial" w:cs="Arial" w:eastAsia="Arial" w:hAnsi="Arial"/>
          <w:b w:val="false"/>
          <w:bCs w:val="false"/>
          <w:color w:val="1e293b"/>
          <w:sz w:val="22"/>
          <w:szCs w:val="22"/>
        </w:rPr>
        <w:t xml:space="preserve">Algorithm: Random Forest Classifier. Chosen because it handles non-linear patterns, provides interpretable feature importance, and is robust to the wide range of feature scales in this dataset.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62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 &amp; Rationale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n_estimators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100 — sufficient for stable importance scores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max_depth</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8 — prevents overfitting while capturing interactions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class_weight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balanced — corrects for 94.7% / 5.3% class imbalance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Train / test split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80% / 20%, stratified — preserves class ratio in both sets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Primary metric</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ROC-AUC — appropriate for imbalanced binary classification</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2.4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0.853</w:t>
            </w:r>
          </w:p>
          <w:p>
            <w:pPr>
              <w:jc w:val="center"/>
            </w:pPr>
            <w:r>
              <w:rPr>
                <w:rFonts w:ascii="Arial" w:cs="Arial" w:eastAsia="Arial" w:hAnsi="Arial"/>
                <w:color w:val="64748b"/>
                <w:sz w:val="18"/>
                <w:szCs w:val="18"/>
              </w:rPr>
              <w:t xml:space="preserve">ROC-AUC</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0.312</w:t>
            </w:r>
          </w:p>
          <w:p>
            <w:pPr>
              <w:jc w:val="center"/>
            </w:pPr>
            <w:r>
              <w:rPr>
                <w:rFonts w:ascii="Arial" w:cs="Arial" w:eastAsia="Arial" w:hAnsi="Arial"/>
                <w:color w:val="64748b"/>
                <w:sz w:val="18"/>
                <w:szCs w:val="18"/>
              </w:rPr>
              <w:t xml:space="preserve">Avg Precision</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61%</w:t>
            </w:r>
          </w:p>
          <w:p>
            <w:pPr>
              <w:jc w:val="center"/>
            </w:pPr>
            <w:r>
              <w:rPr>
                <w:rFonts w:ascii="Arial" w:cs="Arial" w:eastAsia="Arial" w:hAnsi="Arial"/>
                <w:color w:val="64748b"/>
                <w:sz w:val="18"/>
                <w:szCs w:val="18"/>
              </w:rPr>
              <w:t xml:space="preserve">Upgraded Recall</w:t>
            </w:r>
          </w:p>
        </w:tc>
        <w:tc>
          <w:tcPr>
            <w:tcW w:type="dxa" w:w="2340"/>
            <w:tcBorders>
              <w:top w:val="single" w:color="cbd5e1" w:sz="1"/>
              <w:left w:val="single" w:color="cbd5e1" w:sz="1"/>
              <w:bottom w:val="single" w:color="cbd5e1" w:sz="1"/>
              <w:right w:val="single" w:color="cbd5e1" w:sz="1"/>
            </w:tcBorders>
            <w:shd w:fill="dbeafe" w:val="clear"/>
            <w:tcMar>
              <w:top w:type="dxa" w:w="140"/>
              <w:left w:type="dxa" w:w="140"/>
              <w:bottom w:type="dxa" w:w="140"/>
              <w:right w:type="dxa" w:w="140"/>
            </w:tcMar>
          </w:tcPr>
          <w:p>
            <w:pPr>
              <w:jc w:val="center"/>
            </w:pPr>
            <w:r>
              <w:rPr>
                <w:rFonts w:ascii="Arial" w:cs="Arial" w:eastAsia="Arial" w:hAnsi="Arial"/>
                <w:b/>
                <w:bCs/>
                <w:color w:val="1e40af"/>
                <w:sz w:val="42"/>
                <w:szCs w:val="42"/>
              </w:rPr>
              <w:t xml:space="preserve">24%</w:t>
            </w:r>
          </w:p>
          <w:p>
            <w:pPr>
              <w:jc w:val="center"/>
            </w:pPr>
            <w:r>
              <w:rPr>
                <w:rFonts w:ascii="Arial" w:cs="Arial" w:eastAsia="Arial" w:hAnsi="Arial"/>
                <w:color w:val="64748b"/>
                <w:sz w:val="18"/>
                <w:szCs w:val="18"/>
              </w:rPr>
              <w:t xml:space="preserve">Upgraded Precision</w:t>
            </w:r>
          </w:p>
        </w:tc>
      </w:tr>
    </w:tbl>
    <w:p>
      <w:pPr>
        <w:spacing w:after="0" w:before="0"/>
      </w:pPr>
      <w:r>
        <w:t xml:space="preserve"/>
      </w:r>
    </w:p>
    <w:p>
      <w:pPr>
        <w:spacing w:after="80" w:before="200"/>
      </w:pPr>
      <w:r>
        <w:rPr>
          <w:rFonts w:ascii="Arial" w:cs="Arial" w:eastAsia="Arial" w:hAnsi="Arial"/>
          <w:b/>
          <w:bCs/>
          <w:color w:val="1e293b"/>
          <w:sz w:val="22"/>
          <w:szCs w:val="22"/>
        </w:rPr>
        <w:t xml:space="preserve">Top 10 Features by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220"/>
        <w:gridCol w:w="3600"/>
      </w:tblGrid>
      <w:tr>
        <w:trPr>
          <w:tblHeader/>
        </w:trPr>
        <w:tc>
          <w:tcPr>
            <w:tcW w:type="dxa" w:w="5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522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w:t>
            </w:r>
          </w:p>
        </w:tc>
        <w:tc>
          <w:tcPr>
            <w:tcW w:type="dxa" w:w="36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Importance</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52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lifespan_days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0.570</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w:t>
            </w:r>
          </w:p>
        </w:tc>
        <w:tc>
          <w:tcPr>
            <w:tcW w:type="dxa" w:w="52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unique_event_types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0.083</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w:t>
            </w:r>
          </w:p>
        </w:tc>
        <w:tc>
          <w:tcPr>
            <w:tcW w:type="dxa" w:w="52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events_per_day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0.077</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w:t>
            </w:r>
          </w:p>
        </w:tc>
        <w:tc>
          <w:tcPr>
            <w:tcW w:type="dxa" w:w="52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total_events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0.073</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w:t>
            </w:r>
          </w:p>
        </w:tc>
        <w:tc>
          <w:tcPr>
            <w:tcW w:type="dxa" w:w="52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credits_used_count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0.047</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w:t>
            </w:r>
          </w:p>
        </w:tc>
        <w:tc>
          <w:tcPr>
            <w:tcW w:type="dxa" w:w="52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agent_actions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0.046</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w:t>
            </w:r>
          </w:p>
        </w:tc>
        <w:tc>
          <w:tcPr>
            <w:tcW w:type="dxa" w:w="52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agent_tool_calls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0.028</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8</w:t>
            </w:r>
          </w:p>
        </w:tc>
        <w:tc>
          <w:tcPr>
            <w:tcW w:type="dxa" w:w="52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run_count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0.019</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w:t>
            </w:r>
          </w:p>
        </w:tc>
        <w:tc>
          <w:tcPr>
            <w:tcW w:type="dxa" w:w="52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days_active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0.019</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w:t>
            </w:r>
          </w:p>
        </w:tc>
        <w:tc>
          <w:tcPr>
            <w:tcW w:type="dxa" w:w="52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credit_warning_count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0.018</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2.5 Probability Tiers</w:t>
      </w:r>
    </w:p>
    <w:p>
      <w:pPr>
        <w:spacing w:after="100" w:before="60"/>
      </w:pPr>
      <w:r>
        <w:rPr>
          <w:rFonts w:ascii="Arial" w:cs="Arial" w:eastAsia="Arial" w:hAnsi="Arial"/>
          <w:b w:val="false"/>
          <w:bCs w:val="false"/>
          <w:color w:val="1e293b"/>
          <w:sz w:val="22"/>
          <w:szCs w:val="22"/>
        </w:rPr>
        <w:t xml:space="preserve">Every user is scored with an upgrade probability and assigned to an action tier for operationalisation: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23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Probability</w:t>
            </w:r>
          </w:p>
        </w:tc>
        <w:tc>
          <w:tcPr>
            <w:tcW w:type="dxa" w:w="23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Users</w:t>
            </w:r>
          </w:p>
        </w:tc>
        <w:tc>
          <w:tcPr>
            <w:tcW w:type="dxa" w:w="23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Recommended Action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Very High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0.75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718</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Personal outreach or direct offer</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High</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0.50–0.75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1,721</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In-app upgrade nudge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Medium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0.25–0.50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4,983</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 highlight email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&lt; 0.25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10,063</w:t>
            </w:r>
          </w:p>
        </w:tc>
        <w:tc>
          <w:tcPr>
            <w:tcW w:type="dxa" w:w="23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 action (cost inefficient)</w:t>
            </w:r>
          </w:p>
        </w:tc>
      </w:tr>
    </w:tbl>
    <w:p>
      <w:r>
        <w:br w:type="page"/>
      </w:r>
    </w:p>
    <w:p>
      <w:pPr>
        <w:pStyle w:val="Heading1"/>
        <w:spacing w:after="160" w:before="360"/>
      </w:pPr>
      <w:r>
        <w:rPr>
          <w:rFonts w:ascii="Arial" w:cs="Arial" w:eastAsia="Arial" w:hAnsi="Arial"/>
          <w:b/>
          <w:bCs/>
          <w:color w:val="1e40af"/>
          <w:sz w:val="32"/>
          <w:szCs w:val="32"/>
        </w:rPr>
        <w:t xml:space="preserve">3. Funnel Design &amp; Stage Definitions</w:t>
      </w:r>
    </w:p>
    <w:p>
      <w:pPr>
        <w:spacing w:after="100" w:before="60"/>
      </w:pPr>
      <w:r>
        <w:rPr>
          <w:rFonts w:ascii="Arial" w:cs="Arial" w:eastAsia="Arial" w:hAnsi="Arial"/>
          <w:b w:val="false"/>
          <w:bCs w:val="false"/>
          <w:color w:val="1e293b"/>
          <w:sz w:val="22"/>
          <w:szCs w:val="22"/>
        </w:rPr>
        <w:t xml:space="preserve">The funnel assigns every user to exactly one stage based on their deepest product engagement. Stages reflect real product milestones, not arbitrary quantiles. The upgraded label is tracked separately so upgrade rates can be computed within each behavioural stage.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cbd5e1" w:sz="1"/>
              <w:bottom w:val="single" w:color="cbd5e1" w:sz="1"/>
              <w:right w:val="single" w:color="cbd5e1" w:sz="1"/>
            </w:tcBorders>
            <w:shd w:fill="ccfbf1" w:val="clear"/>
            <w:tcMar>
              <w:top w:type="dxa" w:w="120"/>
              <w:left w:type="dxa" w:w="200"/>
              <w:bottom w:type="dxa" w:w="120"/>
              <w:right w:type="dxa" w:w="200"/>
            </w:tcMar>
          </w:tcPr>
          <w:p>
            <w:r>
              <w:rPr>
                <w:rFonts w:ascii="Arial" w:cs="Arial" w:eastAsia="Arial" w:hAnsi="Arial"/>
                <w:b/>
                <w:bCs/>
                <w:color w:val="0f766e"/>
                <w:sz w:val="22"/>
                <w:szCs w:val="22"/>
              </w:rPr>
              <w:t xml:space="preserve">Design Principle</w:t>
            </w:r>
          </w:p>
          <w:p>
            <w:pPr>
              <w:spacing w:before="60"/>
            </w:pPr>
            <w:r>
              <w:rPr>
                <w:rFonts w:ascii="Arial" w:cs="Arial" w:eastAsia="Arial" w:hAnsi="Arial"/>
                <w:color w:val="1e293b"/>
                <w:sz w:val="21"/>
                <w:szCs w:val="21"/>
              </w:rPr>
              <w:t xml:space="preserve">Stages are mutually exclusive and exhaustive — every user lands in exactly one stage. The stage represents the highest level the user has reached, not their most recent activity.</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3.1 Stage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4140"/>
        <w:gridCol w:w="2160"/>
      </w:tblGrid>
      <w:tr>
        <w:trPr>
          <w:tblHeader/>
        </w:trPr>
        <w:tc>
          <w:tcPr>
            <w:tcW w:type="dxa" w:w="9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w:t>
            </w:r>
          </w:p>
        </w:tc>
        <w:tc>
          <w:tcPr>
            <w:tcW w:type="dxa" w:w="2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41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Definition</w:t>
            </w:r>
          </w:p>
        </w:tc>
        <w:tc>
          <w:tcPr>
            <w:tcW w:type="dxa" w:w="21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Users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Converted</w:t>
            </w:r>
          </w:p>
        </w:tc>
        <w:tc>
          <w:tcPr>
            <w:tcW w:type="dxa" w:w="4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subscription_upgraded or upgrade_subscription event fired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922 (5.3%)</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Power User</w:t>
            </w:r>
          </w:p>
        </w:tc>
        <w:tc>
          <w:tcPr>
            <w:tcW w:type="dxa" w:w="41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 or more AI agent actions recorded pre-upgrade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3,205 (18.3%)</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Activated</w:t>
            </w:r>
          </w:p>
        </w:tc>
        <w:tc>
          <w:tcPr>
            <w:tcW w:type="dxa" w:w="4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Hit at least 1 credit warning event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32 (0.2%)</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Onboarded</w:t>
            </w:r>
          </w:p>
        </w:tc>
        <w:tc>
          <w:tcPr>
            <w:tcW w:type="dxa" w:w="41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At least 1 event recorded in the product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13,326 (76.2%)</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Dormant</w:t>
            </w:r>
          </w:p>
        </w:tc>
        <w:tc>
          <w:tcPr>
            <w:tcW w:type="dxa" w:w="41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Signed up but no events recorded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 (0.0%)</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3.2 Stage Assignment Code</w:t>
      </w:r>
    </w:p>
    <w:p>
      <w:pPr>
        <w:spacing w:after="100" w:before="60"/>
      </w:pPr>
      <w:r>
        <w:rPr>
          <w:rFonts w:ascii="Arial" w:cs="Arial" w:eastAsia="Arial" w:hAnsi="Arial"/>
          <w:b w:val="false"/>
          <w:bCs w:val="false"/>
          <w:color w:val="1e293b"/>
          <w:sz w:val="22"/>
          <w:szCs w:val="22"/>
        </w:rPr>
        <w:t xml:space="preserve">The assignment function is applied row-by-row and checks conditions from highest to lowest stage: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r>
              <w:rPr>
                <w:rFonts w:ascii="Courier New" w:cs="Courier New" w:eastAsia="Courier New" w:hAnsi="Courier New"/>
                <w:color w:val="a5b4fc"/>
                <w:sz w:val="18"/>
                <w:szCs w:val="18"/>
              </w:rPr>
              <w:t xml:space="preserve">def assign_stage(row):</w:t>
            </w:r>
          </w:p>
          <w:p>
            <w:r>
              <w:rPr>
                <w:rFonts w:ascii="Courier New" w:cs="Courier New" w:eastAsia="Courier New" w:hAnsi="Courier New"/>
                <w:color w:val="e2e8f0"/>
                <w:sz w:val="18"/>
                <w:szCs w:val="18"/>
              </w:rPr>
              <w:t xml:space="preserve">    if row['agent_actions']        &gt;= 10:  return 3, 'Power User'</w:t>
            </w:r>
          </w:p>
          <w:p>
            <w:r>
              <w:rPr>
                <w:rFonts w:ascii="Courier New" w:cs="Courier New" w:eastAsia="Courier New" w:hAnsi="Courier New"/>
                <w:color w:val="e2e8f0"/>
                <w:sz w:val="18"/>
                <w:szCs w:val="18"/>
              </w:rPr>
              <w:t xml:space="preserve">    if row['credit_warning_count'] &gt;= 1:   return 2, 'Activated'</w:t>
            </w:r>
          </w:p>
          <w:p>
            <w:r>
              <w:rPr>
                <w:rFonts w:ascii="Courier New" w:cs="Courier New" w:eastAsia="Courier New" w:hAnsi="Courier New"/>
                <w:color w:val="e2e8f0"/>
                <w:sz w:val="18"/>
                <w:szCs w:val="18"/>
              </w:rPr>
              <w:t xml:space="preserve">    if row['total_events']         &gt;= 1:   return 1, 'Onboarded'</w:t>
            </w:r>
          </w:p>
          <w:p>
            <w:r>
              <w:rPr>
                <w:rFonts w:ascii="Courier New" w:cs="Courier New" w:eastAsia="Courier New" w:hAnsi="Courier New"/>
                <w:color w:val="e2e8f0"/>
                <w:sz w:val="18"/>
                <w:szCs w:val="18"/>
              </w:rPr>
              <w:t xml:space="preserve">    return 0, 'Dormant'</w:t>
            </w:r>
          </w:p>
        </w:tc>
      </w:tr>
    </w:tbl>
    <w:p>
      <w:pPr>
        <w:spacing w:after="0" w:before="0"/>
      </w:pPr>
      <w:r>
        <w:t xml:space="preserve"/>
      </w:r>
    </w:p>
    <w:p>
      <w:r>
        <w:br w:type="page"/>
      </w:r>
    </w:p>
    <w:p>
      <w:pPr>
        <w:pStyle w:val="Heading1"/>
        <w:spacing w:after="160" w:before="360"/>
      </w:pPr>
      <w:r>
        <w:rPr>
          <w:rFonts w:ascii="Arial" w:cs="Arial" w:eastAsia="Arial" w:hAnsi="Arial"/>
          <w:b/>
          <w:bCs/>
          <w:color w:val="1e40af"/>
          <w:sz w:val="32"/>
          <w:szCs w:val="32"/>
        </w:rPr>
        <w:t xml:space="preserve">4. How Users Move Between Stages</w:t>
      </w:r>
    </w:p>
    <w:p>
      <w:pPr>
        <w:spacing w:after="100" w:before="60"/>
      </w:pPr>
      <w:r>
        <w:rPr>
          <w:rFonts w:ascii="Arial" w:cs="Arial" w:eastAsia="Arial" w:hAnsi="Arial"/>
          <w:b w:val="false"/>
          <w:bCs w:val="false"/>
          <w:color w:val="1e293b"/>
          <w:sz w:val="22"/>
          <w:szCs w:val="22"/>
        </w:rPr>
        <w:t xml:space="preserve">Each stage transition is triggered by a specific event or threshold. The transitions are grounded in real product behaviour sequences, not arbitrary time periods.</w:t>
      </w:r>
    </w:p>
    <w:p>
      <w:pPr>
        <w:spacing w:after="0" w:before="0"/>
      </w:pPr>
      <w:r>
        <w:t xml:space="preserve"/>
      </w:r>
    </w:p>
    <w:p>
      <w:pPr>
        <w:pStyle w:val="Heading2"/>
        <w:spacing w:after="120" w:before="280"/>
      </w:pPr>
      <w:r>
        <w:rPr>
          <w:rFonts w:ascii="Arial" w:cs="Arial" w:eastAsia="Arial" w:hAnsi="Arial"/>
          <w:b/>
          <w:bCs/>
          <w:color w:val="1e293b"/>
          <w:sz w:val="26"/>
          <w:szCs w:val="26"/>
        </w:rPr>
        <w:t xml:space="preserve">4.1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From</w:t>
            </w:r>
          </w:p>
        </w:tc>
        <w:tc>
          <w:tcPr>
            <w:tcW w:type="dxa" w:w="27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w:t>
            </w:r>
          </w:p>
        </w:tc>
        <w:tc>
          <w:tcPr>
            <w:tcW w:type="dxa" w:w="396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Trigger</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(Signup)</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Onboarded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Any product event recorded — sign_in, canvas_open, pageview</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Onboarded</w:t>
            </w:r>
          </w:p>
        </w:tc>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Activated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First credit warning event (credits_below_1 through credits_exceeded)</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Onboarded / Activated</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Power User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10th AI agent action — any agent_ prefixed event</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Any stage</w:t>
            </w:r>
          </w:p>
        </w:tc>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Converted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subscription_upgraded or upgrade_subscription event</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4.2 Transition Observations</w:t>
      </w:r>
    </w:p>
    <w:p>
      <w:pPr>
        <w:spacing w:after="100" w:before="60"/>
      </w:pPr>
      <w:r>
        <w:rPr>
          <w:rFonts w:ascii="Arial" w:cs="Arial" w:eastAsia="Arial" w:hAnsi="Arial"/>
          <w:b w:val="false"/>
          <w:bCs w:val="false"/>
          <w:color w:val="1e293b"/>
          <w:sz w:val="22"/>
          <w:szCs w:val="22"/>
        </w:rPr>
        <w:t xml:space="preserve">Several patterns in the data reveal how users actually progress:</w:t>
      </w:r>
    </w:p>
    <w:p>
      <w:pPr>
        <w:pStyle w:val="ListParagraph"/>
        <w:numPr>
          <w:ilvl w:val="0"/>
          <w:numId w:val="2"/>
        </w:numPr>
        <w:spacing w:after="40" w:before="40"/>
      </w:pPr>
      <w:r>
        <w:rPr>
          <w:rFonts w:ascii="Arial" w:cs="Arial" w:eastAsia="Arial" w:hAnsi="Arial"/>
          <w:color w:val="1e293b"/>
          <w:sz w:val="22"/>
          <w:szCs w:val="22"/>
        </w:rPr>
        <w:t xml:space="preserve">Onboarded → Power User is the most common forward path — 18.3% of users reach this stage</w:t>
      </w:r>
    </w:p>
    <w:p>
      <w:pPr>
        <w:pStyle w:val="ListParagraph"/>
        <w:numPr>
          <w:ilvl w:val="0"/>
          <w:numId w:val="2"/>
        </w:numPr>
        <w:spacing w:after="40" w:before="40"/>
      </w:pPr>
      <w:r>
        <w:rPr>
          <w:rFonts w:ascii="Arial" w:cs="Arial" w:eastAsia="Arial" w:hAnsi="Arial"/>
          <w:color w:val="1e293b"/>
          <w:sz w:val="22"/>
          <w:szCs w:val="22"/>
        </w:rPr>
        <w:t xml:space="preserve">Onboarded → Activated is very rare (only 32 users) — hitting credit limits without heavy AI usage is uncommon</w:t>
      </w:r>
    </w:p>
    <w:p>
      <w:pPr>
        <w:pStyle w:val="ListParagraph"/>
        <w:numPr>
          <w:ilvl w:val="0"/>
          <w:numId w:val="2"/>
        </w:numPr>
        <w:spacing w:after="40" w:before="40"/>
      </w:pPr>
      <w:r>
        <w:rPr>
          <w:rFonts w:ascii="Arial" w:cs="Arial" w:eastAsia="Arial" w:hAnsi="Arial"/>
          <w:color w:val="1e293b"/>
          <w:sz w:val="22"/>
          <w:szCs w:val="22"/>
        </w:rPr>
        <w:t xml:space="preserve">76.2% of users are stuck at Onboarded — they signed up but never engaged deeply</w:t>
      </w:r>
    </w:p>
    <w:p>
      <w:pPr>
        <w:pStyle w:val="ListParagraph"/>
        <w:numPr>
          <w:ilvl w:val="0"/>
          <w:numId w:val="2"/>
        </w:numPr>
        <w:spacing w:after="40" w:before="40"/>
      </w:pPr>
      <w:r>
        <w:rPr>
          <w:rFonts w:ascii="Arial" w:cs="Arial" w:eastAsia="Arial" w:hAnsi="Arial"/>
          <w:color w:val="1e293b"/>
          <w:sz w:val="22"/>
          <w:szCs w:val="22"/>
        </w:rPr>
        <w:t xml:space="preserve">Power Users convert at materially higher rates than Onboarded users, validating the funnel structure</w:t>
      </w:r>
    </w:p>
    <w:p>
      <w:pPr>
        <w:pStyle w:val="ListParagraph"/>
        <w:numPr>
          <w:ilvl w:val="0"/>
          <w:numId w:val="2"/>
        </w:numPr>
        <w:spacing w:after="40" w:before="40"/>
      </w:pPr>
      <w:r>
        <w:rPr>
          <w:rFonts w:ascii="Arial" w:cs="Arial" w:eastAsia="Arial" w:hAnsi="Arial"/>
          <w:color w:val="1e293b"/>
          <w:sz w:val="22"/>
          <w:szCs w:val="22"/>
        </w:rPr>
        <w:t xml:space="preserve">Dormant is empty in this dataset — every user who signed up recorded at least one event</w:t>
      </w:r>
    </w:p>
    <w:p>
      <w:pPr>
        <w:spacing w:after="0" w:before="0"/>
      </w:pPr>
      <w:r>
        <w:t xml:space="preserve"/>
      </w:r>
    </w:p>
    <w:p>
      <w:pPr>
        <w:pStyle w:val="Heading2"/>
        <w:spacing w:after="120" w:before="280"/>
      </w:pPr>
      <w:r>
        <w:rPr>
          <w:rFonts w:ascii="Arial" w:cs="Arial" w:eastAsia="Arial" w:hAnsi="Arial"/>
          <w:b/>
          <w:bCs/>
          <w:color w:val="1e293b"/>
          <w:sz w:val="26"/>
          <w:szCs w:val="26"/>
        </w:rPr>
        <w:t xml:space="preserve">4.3 What Drives Forward Transitions</w:t>
      </w:r>
    </w:p>
    <w:p>
      <w:pPr>
        <w:spacing w:after="100" w:before="60"/>
      </w:pPr>
      <w:r>
        <w:rPr>
          <w:rFonts w:ascii="Arial" w:cs="Arial" w:eastAsia="Arial" w:hAnsi="Arial"/>
          <w:b w:val="false"/>
          <w:bCs w:val="false"/>
          <w:color w:val="1e293b"/>
          <w:sz w:val="22"/>
          <w:szCs w:val="22"/>
        </w:rPr>
        <w:t xml:space="preserve">The diagnostic analysis revealed that most behavioural features have similar averages for upgraders and non-upgraders. The most predictive signals for forward movement 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1800"/>
        <w:gridCol w:w="1800"/>
        <w:gridCol w:w="840"/>
      </w:tblGrid>
      <w:tr>
        <w:trPr>
          <w:tblHeader/>
        </w:trPr>
        <w:tc>
          <w:tcPr>
            <w:tcW w:type="dxa" w:w="312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c>
          <w:tcPr>
            <w:tcW w:type="dxa" w:w="18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Non-Upgraded</w:t>
            </w:r>
          </w:p>
        </w:tc>
        <w:tc>
          <w:tcPr>
            <w:tcW w:type="dxa" w:w="18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Upgraded</w:t>
            </w:r>
          </w:p>
        </w:tc>
        <w:tc>
          <w:tcPr>
            <w:tcW w:type="dxa" w:w="18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Ratio</w:t>
            </w:r>
          </w:p>
        </w:tc>
        <w:tc>
          <w:tcPr>
            <w:tcW w:type="dxa" w:w="8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Strength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agent_actions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26.2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w:t>
            </w:r>
          </w:p>
        </w:tc>
        <w:tc>
          <w:tcPr>
            <w:tcW w:type="dxa" w:w="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agent_tool_calls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21.3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w:t>
            </w:r>
          </w:p>
        </w:tc>
        <w:tc>
          <w:tcPr>
            <w:tcW w:type="dxa" w:w="8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credit_warning_count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w:t>
            </w:r>
          </w:p>
        </w:tc>
        <w:tc>
          <w:tcPr>
            <w:tcW w:type="dxa" w:w="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addon_credits_count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w:t>
            </w:r>
          </w:p>
        </w:tc>
        <w:tc>
          <w:tcPr>
            <w:tcW w:type="dxa" w:w="8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total_events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90.2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102.4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w:t>
            </w:r>
          </w:p>
        </w:tc>
        <w:tc>
          <w:tcPr>
            <w:tcW w:type="dxa" w:w="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run_count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1.9</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1.8</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w:t>
            </w:r>
          </w:p>
        </w:tc>
        <w:tc>
          <w:tcPr>
            <w:tcW w:type="dxa" w:w="8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days_active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0.9×</w:t>
            </w:r>
          </w:p>
        </w:tc>
        <w:tc>
          <w:tcPr>
            <w:tcW w:type="dxa" w:w="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cbd5e1" w:sz="1"/>
              <w:bottom w:val="single" w:color="cbd5e1" w:sz="1"/>
              <w:right w:val="single" w:color="cbd5e1" w:sz="1"/>
            </w:tcBorders>
            <w:shd w:fill="d1fae5" w:val="clear"/>
            <w:tcMar>
              <w:top w:type="dxa" w:w="120"/>
              <w:left w:type="dxa" w:w="200"/>
              <w:bottom w:type="dxa" w:w="120"/>
              <w:right w:type="dxa" w:w="200"/>
            </w:tcMar>
          </w:tcPr>
          <w:p>
            <w:r>
              <w:rPr>
                <w:rFonts w:ascii="Arial" w:cs="Arial" w:eastAsia="Arial" w:hAnsi="Arial"/>
                <w:b/>
                <w:bCs/>
                <w:color w:val="065f46"/>
                <w:sz w:val="22"/>
                <w:szCs w:val="22"/>
              </w:rPr>
              <w:t xml:space="preserve">Key Finding on Transitions</w:t>
            </w:r>
          </w:p>
          <w:p>
            <w:pPr>
              <w:spacing w:before="60"/>
            </w:pPr>
            <w:r>
              <w:rPr>
                <w:rFonts w:ascii="Arial" w:cs="Arial" w:eastAsia="Arial" w:hAnsi="Arial"/>
                <w:color w:val="1e293b"/>
                <w:sz w:val="21"/>
                <w:szCs w:val="21"/>
              </w:rPr>
              <w:t xml:space="preserve">Users don't upgrade after a long journey of increasing activity. They upgrade when they hit a resource ceiling — specifically when AI usage is high and credit limits are reached simultaneously. This means event-triggered interventions (real-time) outperform batch-scored weekly emails for this product.</w:t>
            </w:r>
          </w:p>
        </w:tc>
      </w:tr>
    </w:tbl>
    <w:p>
      <w:r>
        <w:br w:type="page"/>
      </w:r>
    </w:p>
    <w:p>
      <w:pPr>
        <w:pStyle w:val="Heading1"/>
        <w:spacing w:after="160" w:before="360"/>
      </w:pPr>
      <w:r>
        <w:rPr>
          <w:rFonts w:ascii="Arial" w:cs="Arial" w:eastAsia="Arial" w:hAnsi="Arial"/>
          <w:b/>
          <w:bCs/>
          <w:color w:val="1e40af"/>
          <w:sz w:val="32"/>
          <w:szCs w:val="32"/>
        </w:rPr>
        <w:t xml:space="preserve">5. Business Implications &amp; Recommendations</w:t>
      </w:r>
    </w:p>
    <w:p>
      <w:pPr>
        <w:pStyle w:val="Heading2"/>
        <w:spacing w:after="120" w:before="280"/>
      </w:pPr>
      <w:r>
        <w:rPr>
          <w:rFonts w:ascii="Arial" w:cs="Arial" w:eastAsia="Arial" w:hAnsi="Arial"/>
          <w:b/>
          <w:bCs/>
          <w:color w:val="1e293b"/>
          <w:sz w:val="26"/>
          <w:szCs w:val="26"/>
        </w:rPr>
        <w:t xml:space="preserve">5.1 Key Segment Analysis</w:t>
      </w:r>
    </w:p>
    <w:p>
      <w:pPr>
        <w:spacing w:after="100" w:before="60"/>
      </w:pPr>
      <w:r>
        <w:rPr>
          <w:rFonts w:ascii="Arial" w:cs="Arial" w:eastAsia="Arial" w:hAnsi="Arial"/>
          <w:b w:val="false"/>
          <w:bCs w:val="false"/>
          <w:color w:val="1e293b"/>
          <w:sz w:val="22"/>
          <w:szCs w:val="22"/>
        </w:rPr>
        <w:t xml:space="preserve">Beyond individual features, combining signals reveals the highest-value user groups: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404"/>
        <w:gridCol w:w="1404"/>
        <w:gridCol w:w="900"/>
        <w:gridCol w:w="2142"/>
      </w:tblGrid>
      <w:tr>
        <w:trPr>
          <w:tblHeader/>
        </w:trPr>
        <w:tc>
          <w:tcPr>
            <w:tcW w:type="dxa" w:w="351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Segment</w:t>
            </w:r>
          </w:p>
        </w:tc>
        <w:tc>
          <w:tcPr>
            <w:tcW w:type="dxa" w:w="1404"/>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Users</w:t>
            </w:r>
          </w:p>
        </w:tc>
        <w:tc>
          <w:tcPr>
            <w:tcW w:type="dxa" w:w="1404"/>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Upgrade Rate</w:t>
            </w:r>
          </w:p>
        </w:tc>
        <w:tc>
          <w:tcPr>
            <w:tcW w:type="dxa" w:w="90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Lift</w:t>
            </w:r>
          </w:p>
        </w:tc>
        <w:tc>
          <w:tcPr>
            <w:tcW w:type="dxa" w:w="2142"/>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Recommended Action</w:t>
            </w:r>
          </w:p>
        </w:tc>
      </w:tr>
      <w:tr>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Heavy AI + Addon Credits</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643</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14.6%</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2.8×</w:t>
            </w:r>
          </w:p>
        </w:tc>
        <w:tc>
          <w:tcPr>
            <w:tcW w:type="dxa" w:w="214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Personal outreach now</w:t>
            </w:r>
          </w:p>
        </w:tc>
      </w:tr>
      <w:tr>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Bought Addon Credits</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656</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14.3%</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2.7×</w:t>
            </w:r>
          </w:p>
        </w:tc>
        <w:tc>
          <w:tcPr>
            <w:tcW w:type="dxa" w:w="214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Upgrade offer immediately</w:t>
            </w:r>
          </w:p>
        </w:tc>
      </w:tr>
      <w:tr>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Hit Credit Limit</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1,732</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11.7%</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2.2×</w:t>
            </w:r>
          </w:p>
        </w:tc>
        <w:tc>
          <w:tcPr>
            <w:tcW w:type="dxa" w:w="214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Prompt within 24 hours</w:t>
            </w:r>
          </w:p>
        </w:tc>
      </w:tr>
      <w:tr>
        <w:tc>
          <w:tcPr>
            <w:tcW w:type="dxa" w:w="351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Heavy AI + Credit Warning</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1,713</w:t>
            </w:r>
          </w:p>
        </w:tc>
        <w:tc>
          <w:tcPr>
            <w:tcW w:type="dxa" w:w="1404"/>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11.7%</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2.2×</w:t>
            </w:r>
          </w:p>
        </w:tc>
        <w:tc>
          <w:tcPr>
            <w:tcW w:type="dxa" w:w="2142"/>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In-app nudge now</w:t>
            </w:r>
          </w:p>
        </w:tc>
      </w:tr>
      <w:tr>
        <w:tc>
          <w:tcPr>
            <w:tcW w:type="dxa" w:w="351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Any AI Usage</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6,756</w:t>
            </w:r>
          </w:p>
        </w:tc>
        <w:tc>
          <w:tcPr>
            <w:tcW w:type="dxa" w:w="1404"/>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7.6%</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w:t>
            </w:r>
          </w:p>
        </w:tc>
        <w:tc>
          <w:tcPr>
            <w:tcW w:type="dxa" w:w="2142"/>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Feature highlight email</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5.2 Recommendations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cbd5e1" w:sz="1"/>
              <w:bottom w:val="single" w:color="cbd5e1" w:sz="1"/>
              <w:right w:val="single" w:color="cbd5e1" w:sz="1"/>
            </w:tcBorders>
            <w:shd w:fill="d1fae5" w:val="clear"/>
            <w:tcMar>
              <w:top w:type="dxa" w:w="120"/>
              <w:left w:type="dxa" w:w="200"/>
              <w:bottom w:type="dxa" w:w="120"/>
              <w:right w:type="dxa" w:w="200"/>
            </w:tcMar>
          </w:tcPr>
          <w:p>
            <w:r>
              <w:rPr>
                <w:rFonts w:ascii="Arial" w:cs="Arial" w:eastAsia="Arial" w:hAnsi="Arial"/>
                <w:b/>
                <w:bCs/>
                <w:color w:val="065f46"/>
                <w:sz w:val="22"/>
                <w:szCs w:val="22"/>
              </w:rPr>
              <w:t xml:space="preserve">R1 — Real-time trigger on addon credit purchase</w:t>
            </w:r>
          </w:p>
          <w:p>
            <w:pPr>
              <w:spacing w:before="60"/>
            </w:pPr>
            <w:r>
              <w:rPr>
                <w:rFonts w:ascii="Arial" w:cs="Arial" w:eastAsia="Arial" w:hAnsi="Arial"/>
                <w:color w:val="1e293b"/>
                <w:sz w:val="21"/>
                <w:szCs w:val="21"/>
              </w:rPr>
              <w:t xml:space="preserve">643 to 656 users are already paying for more on the free tier. Show an upgrade offer the moment someone buys addon credits. This is the highest intent signal in the dataset and converts at 2.7-2.8x the base rate. Do not wait for a weekly scoring run.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2"/>
              <w:left w:val="single" w:color="cbd5e1" w:sz="1"/>
              <w:bottom w:val="single" w:color="cbd5e1" w:sz="1"/>
              <w:right w:val="single" w:color="cbd5e1" w:sz="1"/>
            </w:tcBorders>
            <w:shd w:fill="d1fae5" w:val="clear"/>
            <w:tcMar>
              <w:top w:type="dxa" w:w="120"/>
              <w:left w:type="dxa" w:w="200"/>
              <w:bottom w:type="dxa" w:w="120"/>
              <w:right w:type="dxa" w:w="200"/>
            </w:tcMar>
          </w:tcPr>
          <w:p>
            <w:r>
              <w:rPr>
                <w:rFonts w:ascii="Arial" w:cs="Arial" w:eastAsia="Arial" w:hAnsi="Arial"/>
                <w:b/>
                <w:bCs/>
                <w:color w:val="065f46"/>
                <w:sz w:val="22"/>
                <w:szCs w:val="22"/>
              </w:rPr>
              <w:t xml:space="preserve">R2 — Upgrade prompt within 24 hours of first credit warning</w:t>
            </w:r>
          </w:p>
          <w:p>
            <w:pPr>
              <w:spacing w:before="60"/>
            </w:pPr>
            <w:r>
              <w:rPr>
                <w:rFonts w:ascii="Arial" w:cs="Arial" w:eastAsia="Arial" w:hAnsi="Arial"/>
                <w:color w:val="1e293b"/>
                <w:sz w:val="21"/>
                <w:szCs w:val="21"/>
              </w:rPr>
              <w:t xml:space="preserve">1,732 users hit credit limits before converting. The prompt should fire in real time at the moment of the first warning event, capturing motivation at its peak. This segment converts at 2.2x the base rate.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2"/>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R3 — Nudge Onboarded users toward AI agent features</w:t>
            </w:r>
          </w:p>
          <w:p>
            <w:pPr>
              <w:spacing w:before="60"/>
            </w:pPr>
            <w:r>
              <w:rPr>
                <w:rFonts w:ascii="Arial" w:cs="Arial" w:eastAsia="Arial" w:hAnsi="Arial"/>
                <w:color w:val="1e293b"/>
                <w:sz w:val="21"/>
                <w:szCs w:val="21"/>
              </w:rPr>
              <w:t xml:space="preserve">76.2% of users (13,326 people) never progress beyond basic onboarding. AI usage is the strongest behavioural predictor of upgrade. An in-product prompt shown 24-48 hours after signup for users who have not tried the AI agent would move the largest volume of users toward the Power User stage.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2"/>
              <w:left w:val="single" w:color="cbd5e1" w:sz="1"/>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R4 — Campaign targeting 2,439 high-probability non-converters</w:t>
            </w:r>
          </w:p>
          <w:p>
            <w:pPr>
              <w:spacing w:before="60"/>
            </w:pPr>
            <w:r>
              <w:rPr>
                <w:rFonts w:ascii="Arial" w:cs="Arial" w:eastAsia="Arial" w:hAnsi="Arial"/>
                <w:color w:val="1e293b"/>
                <w:sz w:val="21"/>
                <w:szCs w:val="21"/>
              </w:rPr>
              <w:t xml:space="preserve">1,721 users in the High tier and 718 in the Very High tier have not yet converted. A focused in-app or email campaign to this group is the highest-ROI acquisition action currently available. Model scores are saved in data_final_output.parquet.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2"/>
              <w:left w:val="single" w:color="cbd5e1" w:sz="1"/>
              <w:bottom w:val="single" w:color="cbd5e1" w:sz="1"/>
              <w:right w:val="single" w:color="cbd5e1" w:sz="1"/>
            </w:tcBorders>
            <w:shd w:fill="fef3c7" w:val="clear"/>
            <w:tcMar>
              <w:top w:type="dxa" w:w="120"/>
              <w:left w:type="dxa" w:w="200"/>
              <w:bottom w:type="dxa" w:w="120"/>
              <w:right w:type="dxa" w:w="200"/>
            </w:tcMar>
          </w:tcPr>
          <w:p>
            <w:r>
              <w:rPr>
                <w:rFonts w:ascii="Arial" w:cs="Arial" w:eastAsia="Arial" w:hAnsi="Arial"/>
                <w:b/>
                <w:bCs/>
                <w:color w:val="92400e"/>
                <w:sz w:val="22"/>
                <w:szCs w:val="22"/>
              </w:rPr>
              <w:t xml:space="preserve">R5 — Focus paid acquisition on Press/Media and Reddit channels</w:t>
            </w:r>
          </w:p>
          <w:p>
            <w:pPr>
              <w:spacing w:before="60"/>
            </w:pPr>
            <w:r>
              <w:rPr>
                <w:rFonts w:ascii="Arial" w:cs="Arial" w:eastAsia="Arial" w:hAnsi="Arial"/>
                <w:color w:val="1e293b"/>
                <w:sz w:val="21"/>
                <w:szCs w:val="21"/>
              </w:rPr>
              <w:t xml:space="preserve">Users from Press or Media and Reddit convert at 7.7-8.0% vs 5.1-5.3% for LinkedIn and Colleague. Shifting acquisition budget toward these higher-converting channels improves unit economics without product changes.</w:t>
            </w:r>
          </w:p>
        </w:tc>
      </w:tr>
    </w:tbl>
    <w:p>
      <w:pPr>
        <w:spacing w:after="0" w:before="0"/>
      </w:pPr>
      <w:r>
        <w:t xml:space="preserve"/>
      </w:r>
    </w:p>
    <w:p>
      <w:pPr>
        <w:pStyle w:val="Heading2"/>
        <w:spacing w:after="120" w:before="280"/>
      </w:pPr>
      <w:r>
        <w:rPr>
          <w:rFonts w:ascii="Arial" w:cs="Arial" w:eastAsia="Arial" w:hAnsi="Arial"/>
          <w:b/>
          <w:bCs/>
          <w:color w:val="1e293b"/>
          <w:sz w:val="26"/>
          <w:szCs w:val="26"/>
        </w:rPr>
        <w:t xml:space="preserve">5.3 Why ROC-AUC of 0.853 is Honest</w:t>
      </w:r>
    </w:p>
    <w:p>
      <w:pPr>
        <w:spacing w:after="100" w:before="60"/>
      </w:pPr>
      <w:r>
        <w:rPr>
          <w:rFonts w:ascii="Arial" w:cs="Arial" w:eastAsia="Arial" w:hAnsi="Arial"/>
          <w:b w:val="false"/>
          <w:bCs w:val="false"/>
          <w:color w:val="1e293b"/>
          <w:sz w:val="22"/>
          <w:szCs w:val="22"/>
        </w:rPr>
        <w:t xml:space="preserve">A ROC-AUC above 0.90 on this dataset would be a warning sign, not a success. Upgraders and non-upgraders behave nearly identically before converting — the ratio of most behavioural features between the two groups is close to 1.0. The model achieves 0.853 because lifespan and engagement diversity are genuinely predictive, but the ceiling is real.</w:t>
      </w:r>
    </w:p>
    <w:p>
      <w:pPr>
        <w:spacing w:after="100" w:before="60"/>
      </w:pPr>
      <w:r>
        <w:rPr>
          <w:rFonts w:ascii="Arial" w:cs="Arial" w:eastAsia="Arial" w:hAnsi="Arial"/>
          <w:b w:val="false"/>
          <w:bCs w:val="false"/>
          <w:color w:val="1e293b"/>
          <w:sz w:val="22"/>
          <w:szCs w:val="22"/>
        </w:rPr>
        <w:t xml:space="preserve">This finding has direct product implications: because upgrade behaviour is driven by resource limits rather than sustained activity patterns, real-time event triggers will always outperform a weekly batch scoring model for this specific product. The model scores are still valuable for campaign prioritisation, but the highest-value interventions are event-driven.</w:t>
      </w:r>
    </w:p>
    <w:p>
      <w:pPr>
        <w:spacing w:after="0" w:before="0"/>
      </w:pPr>
      <w:r>
        <w:t xml:space="preserve"/>
      </w:r>
    </w:p>
    <w:p>
      <w:pPr>
        <w:pStyle w:val="Heading2"/>
        <w:spacing w:after="120" w:before="280"/>
      </w:pPr>
      <w:r>
        <w:rPr>
          <w:rFonts w:ascii="Arial" w:cs="Arial" w:eastAsia="Arial" w:hAnsi="Arial"/>
          <w:b/>
          <w:bCs/>
          <w:color w:val="1e293b"/>
          <w:sz w:val="26"/>
          <w:szCs w:val="26"/>
        </w:rPr>
        <w:t xml:space="preserve">5.4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w:t>
            </w:r>
          </w:p>
        </w:tc>
        <w:tc>
          <w:tcPr>
            <w:tcW w:type="dxa" w:w="6240"/>
            <w:tcBorders>
              <w:top w:val="single" w:color="cbd5e1" w:sz="1"/>
              <w:left w:val="single" w:color="cbd5e1" w:sz="1"/>
              <w:bottom w:val="single" w:color="cbd5e1" w:sz="1"/>
              <w:right w:val="single" w:color="cbd5e1" w:sz="1"/>
            </w:tcBorders>
            <w:shd w:fill="1e40a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data_final_output.parquet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One row per user: all features, funnel stage, upgrade probability, tier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zerve_report.txt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Machine-readable summary of all metrics and recommendations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chart1_funnel.png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Funnel stage distribution with upgrade rates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chart2_segments.png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Segment lift vs base rate bar chart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chart3_feature_importance.png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Top 10 model features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chart4_roc_curve.png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ROC curve with AUC = 0.853</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chart5_probability_dist.png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Predicted probability distribution for upgraded vs not</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tabs>
        <w:tab w:val="right" w:pos="9026"/>
      </w:tabs>
      <w:spacing w:before="100"/>
    </w:pPr>
    <w:r>
      <w:rPr>
        <w:rFonts w:ascii="Arial" w:cs="Arial" w:eastAsia="Arial" w:hAnsi="Arial"/>
        <w:color w:val="64748b"/>
        <w:sz w:val="16"/>
        <w:szCs w:val="16"/>
      </w:rPr>
      <w:t xml:space="preserve">Confidential — Datathon Submission</w:t>
    </w:r>
    <w:r>
      <w:rPr>
        <w:rFonts w:ascii="Arial" w:cs="Arial" w:eastAsia="Arial" w:hAnsi="Arial"/>
        <w:color w:val="64748b"/>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4"/>
      </w:pBdr>
      <w:spacing w:after="100"/>
    </w:pPr>
    <w:r>
      <w:rPr>
        <w:rFonts w:ascii="Arial" w:cs="Arial" w:eastAsia="Arial" w:hAnsi="Arial"/>
        <w:b/>
        <w:bCs/>
        <w:color w:val="1e40af"/>
        <w:sz w:val="18"/>
        <w:szCs w:val="18"/>
      </w:rPr>
      <w:t xml:space="preserve">Zerve × ODSC AI Datathon</w:t>
    </w:r>
    <w:r>
      <w:rPr>
        <w:rFonts w:ascii="Arial" w:cs="Arial" w:eastAsia="Arial" w:hAnsi="Arial"/>
        <w:color w:val="64748b"/>
        <w:sz w:val="18"/>
        <w:szCs w:val="18"/>
      </w:rPr>
      <w:t xml:space="preserve">   •   Submission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2026-04-30T05:22:55.321Z</dcterms:created>
  <dcterms:modified xsi:type="dcterms:W3CDTF">2026-04-30T05:22:55.323Z</dcterms:modified>
</cp:coreProperties>
</file>

<file path=docProps/custom.xml><?xml version="1.0" encoding="utf-8"?>
<Properties xmlns="http://schemas.openxmlformats.org/officeDocument/2006/custom-properties" xmlns:vt="http://schemas.openxmlformats.org/officeDocument/2006/docPropsVTypes"/>
</file>