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0FE8" w14:textId="62852EFC"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Leveraging LLM Agents for Stock Market Predictions</w:t>
      </w:r>
    </w:p>
    <w:p w14:paraId="5EBEB092" w14:textId="77777777" w:rsidR="007316FD" w:rsidRPr="007316FD" w:rsidRDefault="007316FD" w:rsidP="007316FD">
      <w:pPr>
        <w:rPr>
          <w:rFonts w:ascii="inter" w:hAnsi="inter"/>
          <w:sz w:val="32"/>
          <w:szCs w:val="32"/>
        </w:rPr>
      </w:pPr>
      <w:r w:rsidRPr="007316FD">
        <w:rPr>
          <w:rFonts w:ascii="inter" w:hAnsi="inter"/>
          <w:b/>
          <w:bCs/>
          <w:sz w:val="32"/>
          <w:szCs w:val="32"/>
        </w:rPr>
        <w:t>Dataset Overview</w:t>
      </w:r>
      <w:r w:rsidRPr="007316FD">
        <w:rPr>
          <w:rFonts w:ascii="inter" w:hAnsi="inter"/>
          <w:sz w:val="32"/>
          <w:szCs w:val="32"/>
        </w:rPr>
        <w:br/>
        <w:t>The dataset represents the results of 100 stock-related advice queries passed through an Agent on July 3, 2025. These cover 71 unique stocks from major and underrated companies across multiple sectors. The columns in the dataset include real-time prices, model predictions (Day 1/3/7), actual closing prices, prediction errors, advice type (Buy/Sell/Hold), profitability outcomes, and sector categorization.</w:t>
      </w:r>
    </w:p>
    <w:p w14:paraId="58ED88B0"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Key Findings and Theoretical Explanations</w:t>
      </w:r>
    </w:p>
    <w:p w14:paraId="2BA1AC45"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1. Temporal Performance Decay</w:t>
      </w:r>
    </w:p>
    <w:p w14:paraId="745A8EDB"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Finding</w:t>
      </w:r>
      <w:r w:rsidRPr="007316FD">
        <w:rPr>
          <w:rFonts w:ascii="inter" w:eastAsia="inter" w:hAnsi="inter" w:cs="inter"/>
          <w:color w:val="000000"/>
          <w:sz w:val="32"/>
          <w:szCs w:val="32"/>
        </w:rPr>
        <w:t>: Directional accuracy declines from 39.10% (Day 1) to 34.08% (Day 7), while prediction errors increase from 5.10% to 14.92% MAPE</w:t>
      </w:r>
      <w:bookmarkStart w:id="0" w:name="fnref1"/>
      <w:bookmarkEnd w:id="0"/>
      <w:r w:rsidRPr="007316FD">
        <w:rPr>
          <w:rFonts w:ascii="inter" w:hAnsi="inter"/>
          <w:sz w:val="32"/>
          <w:szCs w:val="32"/>
        </w:rPr>
        <w:fldChar w:fldCharType="begin"/>
      </w:r>
      <w:r w:rsidRPr="007316FD">
        <w:rPr>
          <w:rFonts w:ascii="inter" w:hAnsi="inter"/>
          <w:sz w:val="32"/>
          <w:szCs w:val="32"/>
        </w:rPr>
        <w:instrText>HYPERLINK \l "fn1"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w:t>
      </w:r>
      <w:r w:rsidRPr="007316FD">
        <w:rPr>
          <w:rFonts w:ascii="inter" w:hAnsi="inter"/>
          <w:sz w:val="32"/>
          <w:szCs w:val="32"/>
        </w:rPr>
        <w:fldChar w:fldCharType="end"/>
      </w:r>
      <w:r w:rsidRPr="007316FD">
        <w:rPr>
          <w:rFonts w:ascii="inter" w:eastAsia="inter" w:hAnsi="inter" w:cs="inter"/>
          <w:color w:val="000000"/>
          <w:sz w:val="32"/>
          <w:szCs w:val="32"/>
        </w:rPr>
        <w:t>.</w:t>
      </w:r>
    </w:p>
    <w:p w14:paraId="512765D0"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Theoretical Reasoning</w:t>
      </w:r>
      <w:r w:rsidRPr="007316FD">
        <w:rPr>
          <w:rFonts w:ascii="inter" w:eastAsia="inter" w:hAnsi="inter" w:cs="inter"/>
          <w:color w:val="000000"/>
          <w:sz w:val="32"/>
          <w:szCs w:val="32"/>
        </w:rPr>
        <w:t xml:space="preserve">: This deterioration pattern aligns with established financial theory regarding news sentiment decay and market efficiency. Research demonstrates that </w:t>
      </w:r>
      <w:r w:rsidRPr="007316FD">
        <w:rPr>
          <w:rFonts w:ascii="inter" w:eastAsia="inter" w:hAnsi="inter" w:cs="inter"/>
          <w:b/>
          <w:color w:val="000000"/>
          <w:sz w:val="32"/>
          <w:szCs w:val="32"/>
        </w:rPr>
        <w:t>news sentiment has diminishing impact over time</w:t>
      </w:r>
      <w:r w:rsidRPr="007316FD">
        <w:rPr>
          <w:rFonts w:ascii="inter" w:eastAsia="inter" w:hAnsi="inter" w:cs="inter"/>
          <w:color w:val="000000"/>
          <w:sz w:val="32"/>
          <w:szCs w:val="32"/>
        </w:rPr>
        <w:t>, with immediate effects being strongest and gradual mean reversion occurring</w:t>
      </w:r>
      <w:bookmarkStart w:id="1" w:name="fnref2"/>
      <w:bookmarkEnd w:id="1"/>
      <w:r w:rsidRPr="007316FD">
        <w:rPr>
          <w:rFonts w:ascii="inter" w:hAnsi="inter"/>
          <w:sz w:val="32"/>
          <w:szCs w:val="32"/>
        </w:rPr>
        <w:fldChar w:fldCharType="begin"/>
      </w:r>
      <w:r w:rsidRPr="007316FD">
        <w:rPr>
          <w:rFonts w:ascii="inter" w:hAnsi="inter"/>
          <w:sz w:val="32"/>
          <w:szCs w:val="32"/>
        </w:rPr>
        <w:instrText>HYPERLINK \l "fn2"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w:t>
      </w:r>
      <w:r w:rsidRPr="007316FD">
        <w:rPr>
          <w:rFonts w:ascii="inter" w:hAnsi="inter"/>
          <w:sz w:val="32"/>
          <w:szCs w:val="32"/>
        </w:rPr>
        <w:fldChar w:fldCharType="end"/>
      </w:r>
      <w:bookmarkStart w:id="2" w:name="fnref3"/>
      <w:bookmarkEnd w:id="2"/>
      <w:r w:rsidRPr="007316FD">
        <w:rPr>
          <w:rFonts w:ascii="inter" w:hAnsi="inter"/>
          <w:sz w:val="32"/>
          <w:szCs w:val="32"/>
        </w:rPr>
        <w:fldChar w:fldCharType="begin"/>
      </w:r>
      <w:r w:rsidRPr="007316FD">
        <w:rPr>
          <w:rFonts w:ascii="inter" w:hAnsi="inter"/>
          <w:sz w:val="32"/>
          <w:szCs w:val="32"/>
        </w:rPr>
        <w:instrText>HYPERLINK \l "fn3"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[3]</w:t>
      </w:r>
      <w:r w:rsidRPr="007316FD">
        <w:rPr>
          <w:rFonts w:ascii="inter" w:hAnsi="inter"/>
          <w:sz w:val="32"/>
          <w:szCs w:val="32"/>
        </w:rPr>
        <w:fldChar w:fldCharType="end"/>
      </w:r>
      <w:r w:rsidRPr="007316FD">
        <w:rPr>
          <w:rFonts w:ascii="inter" w:eastAsia="inter" w:hAnsi="inter" w:cs="inter"/>
          <w:color w:val="000000"/>
          <w:sz w:val="32"/>
          <w:szCs w:val="32"/>
        </w:rPr>
        <w:t xml:space="preserve">. The LLM's reliance on current news sentiment and historical patterns becomes less predictive as market conditions evolve and new information arrives. Additionally, the </w:t>
      </w:r>
      <w:r w:rsidRPr="007316FD">
        <w:rPr>
          <w:rFonts w:ascii="inter" w:eastAsia="inter" w:hAnsi="inter" w:cs="inter"/>
          <w:b/>
          <w:color w:val="000000"/>
          <w:sz w:val="32"/>
          <w:szCs w:val="32"/>
        </w:rPr>
        <w:t>efficient market hypothesis</w:t>
      </w:r>
      <w:r w:rsidRPr="007316FD">
        <w:rPr>
          <w:rFonts w:ascii="inter" w:eastAsia="inter" w:hAnsi="inter" w:cs="inter"/>
          <w:color w:val="000000"/>
          <w:sz w:val="32"/>
          <w:szCs w:val="32"/>
        </w:rPr>
        <w:t xml:space="preserve"> suggests that </w:t>
      </w:r>
      <w:r w:rsidRPr="007316FD">
        <w:rPr>
          <w:rFonts w:ascii="inter" w:eastAsia="inter" w:hAnsi="inter" w:cs="inter"/>
          <w:color w:val="000000"/>
          <w:sz w:val="32"/>
          <w:szCs w:val="32"/>
        </w:rPr>
        <w:lastRenderedPageBreak/>
        <w:t>markets quickly absorb available information, making longer-term predictions inherently more difficult</w:t>
      </w:r>
      <w:bookmarkStart w:id="3" w:name="fnref4"/>
      <w:bookmarkEnd w:id="3"/>
      <w:r w:rsidRPr="007316FD">
        <w:rPr>
          <w:rFonts w:ascii="inter" w:hAnsi="inter"/>
          <w:sz w:val="32"/>
          <w:szCs w:val="32"/>
        </w:rPr>
        <w:fldChar w:fldCharType="begin"/>
      </w:r>
      <w:r w:rsidRPr="007316FD">
        <w:rPr>
          <w:rFonts w:ascii="inter" w:hAnsi="inter"/>
          <w:sz w:val="32"/>
          <w:szCs w:val="32"/>
        </w:rPr>
        <w:instrText>HYPERLINK \l "fn4"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[4]</w:t>
      </w:r>
      <w:r w:rsidRPr="007316FD">
        <w:rPr>
          <w:rFonts w:ascii="inter" w:hAnsi="inter"/>
          <w:sz w:val="32"/>
          <w:szCs w:val="32"/>
        </w:rPr>
        <w:fldChar w:fldCharType="end"/>
      </w:r>
      <w:r w:rsidRPr="007316FD">
        <w:rPr>
          <w:rFonts w:ascii="inter" w:eastAsia="inter" w:hAnsi="inter" w:cs="inter"/>
          <w:color w:val="000000"/>
          <w:sz w:val="32"/>
          <w:szCs w:val="32"/>
        </w:rPr>
        <w:t>.</w:t>
      </w:r>
    </w:p>
    <w:p w14:paraId="6F79B8F2"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Supporting Evidence</w:t>
      </w:r>
      <w:r w:rsidRPr="007316FD">
        <w:rPr>
          <w:rFonts w:ascii="inter" w:eastAsia="inter" w:hAnsi="inter" w:cs="inter"/>
          <w:color w:val="000000"/>
          <w:sz w:val="32"/>
          <w:szCs w:val="32"/>
        </w:rPr>
        <w:t xml:space="preserve">: Studies show that news sentiment effects are most pronounced within the first 24 hours, with </w:t>
      </w:r>
      <w:r w:rsidRPr="007316FD">
        <w:rPr>
          <w:rFonts w:ascii="inter" w:eastAsia="inter" w:hAnsi="inter" w:cs="inter"/>
          <w:b/>
          <w:color w:val="000000"/>
          <w:sz w:val="32"/>
          <w:szCs w:val="32"/>
        </w:rPr>
        <w:t>90% of price reactions occurring within the first day</w:t>
      </w:r>
      <w:bookmarkStart w:id="4" w:name="fnref5"/>
      <w:bookmarkEnd w:id="4"/>
      <w:r w:rsidRPr="007316FD">
        <w:rPr>
          <w:rFonts w:ascii="inter" w:hAnsi="inter"/>
          <w:sz w:val="32"/>
          <w:szCs w:val="32"/>
        </w:rPr>
        <w:fldChar w:fldCharType="begin"/>
      </w:r>
      <w:r w:rsidRPr="007316FD">
        <w:rPr>
          <w:rFonts w:ascii="inter" w:hAnsi="inter"/>
          <w:sz w:val="32"/>
          <w:szCs w:val="32"/>
        </w:rPr>
        <w:instrText>HYPERLINK \l "fn5"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[5]</w:t>
      </w:r>
      <w:r w:rsidRPr="007316FD">
        <w:rPr>
          <w:rFonts w:ascii="inter" w:hAnsi="inter"/>
          <w:sz w:val="32"/>
          <w:szCs w:val="32"/>
        </w:rPr>
        <w:fldChar w:fldCharType="end"/>
      </w:r>
      <w:r w:rsidRPr="007316FD">
        <w:rPr>
          <w:rFonts w:ascii="inter" w:eastAsia="inter" w:hAnsi="inter" w:cs="inter"/>
          <w:color w:val="000000"/>
          <w:sz w:val="32"/>
          <w:szCs w:val="32"/>
        </w:rPr>
        <w:t xml:space="preserve">. The phenomenon of </w:t>
      </w:r>
      <w:r w:rsidRPr="007316FD">
        <w:rPr>
          <w:rFonts w:ascii="inter" w:eastAsia="inter" w:hAnsi="inter" w:cs="inter"/>
          <w:b/>
          <w:color w:val="000000"/>
          <w:sz w:val="32"/>
          <w:szCs w:val="32"/>
        </w:rPr>
        <w:t>sentiment-driven algorithms reacting to market news in real-time</w:t>
      </w:r>
      <w:r w:rsidRPr="007316FD">
        <w:rPr>
          <w:rFonts w:ascii="inter" w:eastAsia="inter" w:hAnsi="inter" w:cs="inter"/>
          <w:color w:val="000000"/>
          <w:sz w:val="32"/>
          <w:szCs w:val="32"/>
        </w:rPr>
        <w:t xml:space="preserve"> creates immediate price movements that dissipate over time</w:t>
      </w:r>
      <w:bookmarkStart w:id="5" w:name="fnref6"/>
      <w:bookmarkEnd w:id="5"/>
      <w:r w:rsidRPr="007316FD">
        <w:rPr>
          <w:rFonts w:ascii="inter" w:hAnsi="inter"/>
          <w:sz w:val="32"/>
          <w:szCs w:val="32"/>
        </w:rPr>
        <w:fldChar w:fldCharType="begin"/>
      </w:r>
      <w:r w:rsidRPr="007316FD">
        <w:rPr>
          <w:rFonts w:ascii="inter" w:hAnsi="inter"/>
          <w:sz w:val="32"/>
          <w:szCs w:val="32"/>
        </w:rPr>
        <w:instrText>HYPERLINK \l "fn6"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[6]</w:t>
      </w:r>
      <w:r w:rsidRPr="007316FD">
        <w:rPr>
          <w:rFonts w:ascii="inter" w:hAnsi="inter"/>
          <w:sz w:val="32"/>
          <w:szCs w:val="32"/>
        </w:rPr>
        <w:fldChar w:fldCharType="end"/>
      </w:r>
      <w:r w:rsidRPr="007316FD">
        <w:rPr>
          <w:rFonts w:ascii="inter" w:eastAsia="inter" w:hAnsi="inter" w:cs="inter"/>
          <w:color w:val="000000"/>
          <w:sz w:val="32"/>
          <w:szCs w:val="32"/>
        </w:rPr>
        <w:t>.</w:t>
      </w:r>
    </w:p>
    <w:p w14:paraId="2BB91AB2"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2. Action-Specific Performance Disparities</w:t>
      </w:r>
    </w:p>
    <w:p w14:paraId="7741DF06"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Finding</w:t>
      </w:r>
      <w:r w:rsidRPr="007316FD">
        <w:rPr>
          <w:rFonts w:ascii="inter" w:eastAsia="inter" w:hAnsi="inter" w:cs="inter"/>
          <w:color w:val="000000"/>
          <w:sz w:val="32"/>
          <w:szCs w:val="32"/>
        </w:rPr>
        <w:t>: Sell actions achieve 90.90% profitability with 3.08% error, dramatically outperforming Buy (31.48% profitability, 3.72% error) and Hold (22.40% profitability, 7.67% error) actions</w:t>
      </w:r>
      <w:bookmarkStart w:id="6" w:name="fnref1:1"/>
      <w:bookmarkEnd w:id="6"/>
      <w:r w:rsidRPr="007316FD">
        <w:rPr>
          <w:rFonts w:ascii="inter" w:hAnsi="inter"/>
          <w:sz w:val="32"/>
          <w:szCs w:val="32"/>
        </w:rPr>
        <w:fldChar w:fldCharType="begin"/>
      </w:r>
      <w:r w:rsidRPr="007316FD">
        <w:rPr>
          <w:rFonts w:ascii="inter" w:hAnsi="inter"/>
          <w:sz w:val="32"/>
          <w:szCs w:val="32"/>
        </w:rPr>
        <w:instrText>HYPERLINK \l "fn1"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w:t>
      </w:r>
      <w:r w:rsidRPr="007316FD">
        <w:rPr>
          <w:rFonts w:ascii="inter" w:hAnsi="inter"/>
          <w:sz w:val="32"/>
          <w:szCs w:val="32"/>
        </w:rPr>
        <w:fldChar w:fldCharType="end"/>
      </w:r>
      <w:r w:rsidRPr="007316FD">
        <w:rPr>
          <w:rFonts w:ascii="inter" w:eastAsia="inter" w:hAnsi="inter" w:cs="inter"/>
          <w:color w:val="000000"/>
          <w:sz w:val="32"/>
          <w:szCs w:val="32"/>
        </w:rPr>
        <w:t>.</w:t>
      </w:r>
    </w:p>
    <w:p w14:paraId="3515EA82"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Theoretical Explanations</w:t>
      </w:r>
      <w:r w:rsidRPr="007316FD">
        <w:rPr>
          <w:rFonts w:ascii="inter" w:eastAsia="inter" w:hAnsi="inter" w:cs="inter"/>
          <w:color w:val="000000"/>
          <w:sz w:val="32"/>
          <w:szCs w:val="32"/>
        </w:rPr>
        <w:t>:</w:t>
      </w:r>
    </w:p>
    <w:p w14:paraId="24D2447C"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Negative News Bias</w:t>
      </w:r>
      <w:r w:rsidRPr="007316FD">
        <w:rPr>
          <w:rFonts w:ascii="inter" w:eastAsia="inter" w:hAnsi="inter" w:cs="inter"/>
          <w:color w:val="000000"/>
          <w:sz w:val="32"/>
          <w:szCs w:val="32"/>
        </w:rPr>
        <w:t xml:space="preserve">: Financial markets exhibit well-documented </w:t>
      </w:r>
      <w:r w:rsidRPr="007316FD">
        <w:rPr>
          <w:rFonts w:ascii="inter" w:eastAsia="inter" w:hAnsi="inter" w:cs="inter"/>
          <w:b/>
          <w:color w:val="000000"/>
          <w:sz w:val="32"/>
          <w:szCs w:val="32"/>
        </w:rPr>
        <w:t>asymmetric responses to negative versus positive news</w:t>
      </w:r>
      <w:r w:rsidRPr="007316FD">
        <w:rPr>
          <w:rFonts w:ascii="inter" w:eastAsia="inter" w:hAnsi="inter" w:cs="inter"/>
          <w:color w:val="000000"/>
          <w:sz w:val="32"/>
          <w:szCs w:val="32"/>
        </w:rPr>
        <w:t>, with negative information having stronger and more immediate impact</w:t>
      </w:r>
      <w:bookmarkStart w:id="7" w:name="fnref3:1"/>
      <w:bookmarkEnd w:id="7"/>
      <w:r w:rsidRPr="007316FD">
        <w:rPr>
          <w:rFonts w:ascii="inter" w:hAnsi="inter"/>
          <w:sz w:val="32"/>
          <w:szCs w:val="32"/>
        </w:rPr>
        <w:fldChar w:fldCharType="begin"/>
      </w:r>
      <w:r w:rsidRPr="007316FD">
        <w:rPr>
          <w:rFonts w:ascii="inter" w:hAnsi="inter"/>
          <w:sz w:val="32"/>
          <w:szCs w:val="32"/>
        </w:rPr>
        <w:instrText>HYPERLINK \l "fn3"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[3]</w:t>
      </w:r>
      <w:r w:rsidRPr="007316FD">
        <w:rPr>
          <w:rFonts w:ascii="inter" w:hAnsi="inter"/>
          <w:sz w:val="32"/>
          <w:szCs w:val="32"/>
        </w:rPr>
        <w:fldChar w:fldCharType="end"/>
      </w:r>
      <w:bookmarkStart w:id="8" w:name="fnref7"/>
      <w:bookmarkEnd w:id="8"/>
      <w:r w:rsidRPr="007316FD">
        <w:rPr>
          <w:rFonts w:ascii="inter" w:hAnsi="inter"/>
          <w:sz w:val="32"/>
          <w:szCs w:val="32"/>
        </w:rPr>
        <w:fldChar w:fldCharType="begin"/>
      </w:r>
      <w:r w:rsidRPr="007316FD">
        <w:rPr>
          <w:rFonts w:ascii="inter" w:hAnsi="inter"/>
          <w:sz w:val="32"/>
          <w:szCs w:val="32"/>
        </w:rPr>
        <w:instrText>HYPERLINK \l "fn7"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[7]</w:t>
      </w:r>
      <w:r w:rsidRPr="007316FD">
        <w:rPr>
          <w:rFonts w:ascii="inter" w:hAnsi="inter"/>
          <w:sz w:val="32"/>
          <w:szCs w:val="32"/>
        </w:rPr>
        <w:fldChar w:fldCharType="end"/>
      </w:r>
      <w:r w:rsidRPr="007316FD">
        <w:rPr>
          <w:rFonts w:ascii="inter" w:eastAsia="inter" w:hAnsi="inter" w:cs="inter"/>
          <w:color w:val="000000"/>
          <w:sz w:val="32"/>
          <w:szCs w:val="32"/>
        </w:rPr>
        <w:t xml:space="preserve">. Research indicates that </w:t>
      </w:r>
      <w:r w:rsidRPr="007316FD">
        <w:rPr>
          <w:rFonts w:ascii="inter" w:eastAsia="inter" w:hAnsi="inter" w:cs="inter"/>
          <w:b/>
          <w:color w:val="000000"/>
          <w:sz w:val="32"/>
          <w:szCs w:val="32"/>
        </w:rPr>
        <w:t>negative news has a persistent effect on stock markets</w:t>
      </w:r>
      <w:r w:rsidRPr="007316FD">
        <w:rPr>
          <w:rFonts w:ascii="inter" w:eastAsia="inter" w:hAnsi="inter" w:cs="inter"/>
          <w:color w:val="000000"/>
          <w:sz w:val="32"/>
          <w:szCs w:val="32"/>
        </w:rPr>
        <w:t xml:space="preserve"> and generates stronger price reactions than positive news</w:t>
      </w:r>
      <w:bookmarkStart w:id="9" w:name="fnref8"/>
      <w:bookmarkEnd w:id="9"/>
      <w:r w:rsidRPr="007316FD">
        <w:rPr>
          <w:rFonts w:ascii="inter" w:hAnsi="inter"/>
          <w:sz w:val="32"/>
          <w:szCs w:val="32"/>
        </w:rPr>
        <w:fldChar w:fldCharType="begin"/>
      </w:r>
      <w:r w:rsidRPr="007316FD">
        <w:rPr>
          <w:rFonts w:ascii="inter" w:hAnsi="inter"/>
          <w:sz w:val="32"/>
          <w:szCs w:val="32"/>
        </w:rPr>
        <w:instrText>HYPERLINK \l "fn8"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[8]</w:t>
      </w:r>
      <w:r w:rsidRPr="007316FD">
        <w:rPr>
          <w:rFonts w:ascii="inter" w:hAnsi="inter"/>
          <w:sz w:val="32"/>
          <w:szCs w:val="32"/>
        </w:rPr>
        <w:fldChar w:fldCharType="end"/>
      </w:r>
      <w:bookmarkStart w:id="10" w:name="fnref9"/>
      <w:bookmarkEnd w:id="10"/>
      <w:r w:rsidRPr="007316FD">
        <w:rPr>
          <w:rFonts w:ascii="inter" w:hAnsi="inter"/>
          <w:sz w:val="32"/>
          <w:szCs w:val="32"/>
        </w:rPr>
        <w:fldChar w:fldCharType="begin"/>
      </w:r>
      <w:r w:rsidRPr="007316FD">
        <w:rPr>
          <w:rFonts w:ascii="inter" w:hAnsi="inter"/>
          <w:sz w:val="32"/>
          <w:szCs w:val="32"/>
        </w:rPr>
        <w:instrText>HYPERLINK \l "fn9"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[9]</w:t>
      </w:r>
      <w:r w:rsidRPr="007316FD">
        <w:rPr>
          <w:rFonts w:ascii="inter" w:hAnsi="inter"/>
          <w:sz w:val="32"/>
          <w:szCs w:val="32"/>
        </w:rPr>
        <w:fldChar w:fldCharType="end"/>
      </w:r>
      <w:r w:rsidRPr="007316FD">
        <w:rPr>
          <w:rFonts w:ascii="inter" w:eastAsia="inter" w:hAnsi="inter" w:cs="inter"/>
          <w:color w:val="000000"/>
          <w:sz w:val="32"/>
          <w:szCs w:val="32"/>
        </w:rPr>
        <w:t>. This "negativity bias" in financial markets means that sell signals triggered by negative sentiment are more reliable and actionable.</w:t>
      </w:r>
    </w:p>
    <w:p w14:paraId="319A18EC"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lastRenderedPageBreak/>
        <w:t>Loss Aversion Psychology</w:t>
      </w:r>
      <w:r w:rsidRPr="007316FD">
        <w:rPr>
          <w:rFonts w:ascii="inter" w:eastAsia="inter" w:hAnsi="inter" w:cs="inter"/>
          <w:color w:val="000000"/>
          <w:sz w:val="32"/>
          <w:szCs w:val="32"/>
        </w:rPr>
        <w:t xml:space="preserve">: The superior performance of sell actions reflects </w:t>
      </w:r>
      <w:r w:rsidRPr="007316FD">
        <w:rPr>
          <w:rFonts w:ascii="inter" w:eastAsia="inter" w:hAnsi="inter" w:cs="inter"/>
          <w:b/>
          <w:color w:val="000000"/>
          <w:sz w:val="32"/>
          <w:szCs w:val="32"/>
        </w:rPr>
        <w:t>behavioral finance principles</w:t>
      </w:r>
      <w:r w:rsidRPr="007316FD">
        <w:rPr>
          <w:rFonts w:ascii="inter" w:eastAsia="inter" w:hAnsi="inter" w:cs="inter"/>
          <w:color w:val="000000"/>
          <w:sz w:val="32"/>
          <w:szCs w:val="32"/>
        </w:rPr>
        <w:t>, particularly loss aversion, where investors react more strongly to potential losses than equivalent gains</w:t>
      </w:r>
      <w:bookmarkStart w:id="11" w:name="fnref7:1"/>
      <w:bookmarkEnd w:id="11"/>
      <w:r w:rsidRPr="007316FD">
        <w:rPr>
          <w:rFonts w:ascii="inter" w:hAnsi="inter"/>
          <w:sz w:val="32"/>
          <w:szCs w:val="32"/>
        </w:rPr>
        <w:fldChar w:fldCharType="begin"/>
      </w:r>
      <w:r w:rsidRPr="007316FD">
        <w:rPr>
          <w:rFonts w:ascii="inter" w:hAnsi="inter"/>
          <w:sz w:val="32"/>
          <w:szCs w:val="32"/>
        </w:rPr>
        <w:instrText>HYPERLINK \l "fn7"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[7]</w:t>
      </w:r>
      <w:r w:rsidRPr="007316FD">
        <w:rPr>
          <w:rFonts w:ascii="inter" w:hAnsi="inter"/>
          <w:sz w:val="32"/>
          <w:szCs w:val="32"/>
        </w:rPr>
        <w:fldChar w:fldCharType="end"/>
      </w:r>
      <w:r w:rsidRPr="007316FD">
        <w:rPr>
          <w:rFonts w:ascii="inter" w:eastAsia="inter" w:hAnsi="inter" w:cs="inter"/>
          <w:color w:val="000000"/>
          <w:sz w:val="32"/>
          <w:szCs w:val="32"/>
        </w:rPr>
        <w:t>. This psychological bias creates more pronounced and predictable market movements during negative events.</w:t>
      </w:r>
    </w:p>
    <w:p w14:paraId="7FBAE155"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Market Timing Effectiveness</w:t>
      </w:r>
      <w:r w:rsidRPr="007316FD">
        <w:rPr>
          <w:rFonts w:ascii="inter" w:eastAsia="inter" w:hAnsi="inter" w:cs="inter"/>
          <w:color w:val="000000"/>
          <w:sz w:val="32"/>
          <w:szCs w:val="32"/>
        </w:rPr>
        <w:t xml:space="preserve">: The strong performance of sell actions aligns with research showing that </w:t>
      </w:r>
      <w:r w:rsidRPr="007316FD">
        <w:rPr>
          <w:rFonts w:ascii="inter" w:eastAsia="inter" w:hAnsi="inter" w:cs="inter"/>
          <w:b/>
          <w:color w:val="000000"/>
          <w:sz w:val="32"/>
          <w:szCs w:val="32"/>
        </w:rPr>
        <w:t>market timing strategies are more effective during volatile periods</w:t>
      </w:r>
      <w:bookmarkStart w:id="12" w:name="fnref10"/>
      <w:bookmarkEnd w:id="12"/>
      <w:r w:rsidRPr="007316FD">
        <w:rPr>
          <w:rFonts w:ascii="inter" w:hAnsi="inter"/>
          <w:sz w:val="32"/>
          <w:szCs w:val="32"/>
        </w:rPr>
        <w:fldChar w:fldCharType="begin"/>
      </w:r>
      <w:r w:rsidRPr="007316FD">
        <w:rPr>
          <w:rFonts w:ascii="inter" w:hAnsi="inter"/>
          <w:sz w:val="32"/>
          <w:szCs w:val="32"/>
        </w:rPr>
        <w:instrText>HYPERLINK \l "fn10"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[10]</w:t>
      </w:r>
      <w:r w:rsidRPr="007316FD">
        <w:rPr>
          <w:rFonts w:ascii="inter" w:hAnsi="inter"/>
          <w:sz w:val="32"/>
          <w:szCs w:val="32"/>
        </w:rPr>
        <w:fldChar w:fldCharType="end"/>
      </w:r>
      <w:bookmarkStart w:id="13" w:name="fnref4:1"/>
      <w:bookmarkEnd w:id="13"/>
      <w:r w:rsidRPr="007316FD">
        <w:rPr>
          <w:rFonts w:ascii="inter" w:hAnsi="inter"/>
          <w:sz w:val="32"/>
          <w:szCs w:val="32"/>
        </w:rPr>
        <w:fldChar w:fldCharType="begin"/>
      </w:r>
      <w:r w:rsidRPr="007316FD">
        <w:rPr>
          <w:rFonts w:ascii="inter" w:hAnsi="inter"/>
          <w:sz w:val="32"/>
          <w:szCs w:val="32"/>
        </w:rPr>
        <w:instrText>HYPERLINK \l "fn4"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[4]</w:t>
      </w:r>
      <w:r w:rsidRPr="007316FD">
        <w:rPr>
          <w:rFonts w:ascii="inter" w:hAnsi="inter"/>
          <w:sz w:val="32"/>
          <w:szCs w:val="32"/>
        </w:rPr>
        <w:fldChar w:fldCharType="end"/>
      </w:r>
      <w:r w:rsidRPr="007316FD">
        <w:rPr>
          <w:rFonts w:ascii="inter" w:eastAsia="inter" w:hAnsi="inter" w:cs="inter"/>
          <w:color w:val="000000"/>
          <w:sz w:val="32"/>
          <w:szCs w:val="32"/>
        </w:rPr>
        <w:t>. Sell signals often coincide with increased volatility, providing clearer directional signals for LLM agents.</w:t>
      </w:r>
    </w:p>
    <w:p w14:paraId="3F6384A5"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3. Hold Action Underperformance</w:t>
      </w:r>
    </w:p>
    <w:p w14:paraId="67E49710"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Finding</w:t>
      </w:r>
      <w:r w:rsidRPr="007316FD">
        <w:rPr>
          <w:rFonts w:ascii="inter" w:eastAsia="inter" w:hAnsi="inter" w:cs="inter"/>
          <w:color w:val="000000"/>
          <w:sz w:val="32"/>
          <w:szCs w:val="32"/>
        </w:rPr>
        <w:t>: Hold actions show the highest error rate (7.67%) and lowest profitability (22.40%)</w:t>
      </w:r>
      <w:bookmarkStart w:id="14" w:name="fnref1:2"/>
      <w:bookmarkEnd w:id="14"/>
      <w:r w:rsidRPr="007316FD">
        <w:rPr>
          <w:rFonts w:ascii="inter" w:hAnsi="inter"/>
          <w:sz w:val="32"/>
          <w:szCs w:val="32"/>
        </w:rPr>
        <w:fldChar w:fldCharType="begin"/>
      </w:r>
      <w:r w:rsidRPr="007316FD">
        <w:rPr>
          <w:rFonts w:ascii="inter" w:hAnsi="inter"/>
          <w:sz w:val="32"/>
          <w:szCs w:val="32"/>
        </w:rPr>
        <w:instrText>HYPERLINK \l "fn1"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w:t>
      </w:r>
      <w:r w:rsidRPr="007316FD">
        <w:rPr>
          <w:rFonts w:ascii="inter" w:hAnsi="inter"/>
          <w:sz w:val="32"/>
          <w:szCs w:val="32"/>
        </w:rPr>
        <w:fldChar w:fldCharType="end"/>
      </w:r>
      <w:r w:rsidRPr="007316FD">
        <w:rPr>
          <w:rFonts w:ascii="inter" w:eastAsia="inter" w:hAnsi="inter" w:cs="inter"/>
          <w:color w:val="000000"/>
          <w:sz w:val="32"/>
          <w:szCs w:val="32"/>
        </w:rPr>
        <w:t>.</w:t>
      </w:r>
    </w:p>
    <w:p w14:paraId="47843AF2"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Theoretical Reasoning</w:t>
      </w:r>
      <w:r w:rsidRPr="007316FD">
        <w:rPr>
          <w:rFonts w:ascii="inter" w:eastAsia="inter" w:hAnsi="inter" w:cs="inter"/>
          <w:color w:val="000000"/>
          <w:sz w:val="32"/>
          <w:szCs w:val="32"/>
        </w:rPr>
        <w:t xml:space="preserve">: Hold recommendations represent the most challenging decision for LLM agents because they require </w:t>
      </w:r>
      <w:r w:rsidRPr="007316FD">
        <w:rPr>
          <w:rFonts w:ascii="inter" w:eastAsia="inter" w:hAnsi="inter" w:cs="inter"/>
          <w:b/>
          <w:color w:val="000000"/>
          <w:sz w:val="32"/>
          <w:szCs w:val="32"/>
        </w:rPr>
        <w:t>distinguishing between genuine stability and indecision</w:t>
      </w:r>
      <w:r w:rsidRPr="007316FD">
        <w:rPr>
          <w:rFonts w:ascii="inter" w:eastAsia="inter" w:hAnsi="inter" w:cs="inter"/>
          <w:color w:val="000000"/>
          <w:sz w:val="32"/>
          <w:szCs w:val="32"/>
        </w:rPr>
        <w:t>. Several factors contribute to this underperformance:</w:t>
      </w:r>
    </w:p>
    <w:p w14:paraId="36D6329A"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Opportunity Cost</w:t>
      </w:r>
      <w:r w:rsidRPr="007316FD">
        <w:rPr>
          <w:rFonts w:ascii="inter" w:eastAsia="inter" w:hAnsi="inter" w:cs="inter"/>
          <w:color w:val="000000"/>
          <w:sz w:val="32"/>
          <w:szCs w:val="32"/>
        </w:rPr>
        <w:t>: In volatile markets, holding positions during periods of potential movement represents missed opportunities</w:t>
      </w:r>
      <w:bookmarkStart w:id="15" w:name="fnref11"/>
      <w:bookmarkEnd w:id="15"/>
      <w:r w:rsidRPr="007316FD">
        <w:rPr>
          <w:rFonts w:ascii="inter" w:hAnsi="inter"/>
          <w:sz w:val="32"/>
          <w:szCs w:val="32"/>
        </w:rPr>
        <w:fldChar w:fldCharType="begin"/>
      </w:r>
      <w:r w:rsidRPr="007316FD">
        <w:rPr>
          <w:rFonts w:ascii="inter" w:hAnsi="inter"/>
          <w:sz w:val="32"/>
          <w:szCs w:val="32"/>
        </w:rPr>
        <w:instrText>HYPERLINK \l "fn11"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[11]</w:t>
      </w:r>
      <w:r w:rsidRPr="007316FD">
        <w:rPr>
          <w:rFonts w:ascii="inter" w:hAnsi="inter"/>
          <w:sz w:val="32"/>
          <w:szCs w:val="32"/>
        </w:rPr>
        <w:fldChar w:fldCharType="end"/>
      </w:r>
      <w:r w:rsidRPr="007316FD">
        <w:rPr>
          <w:rFonts w:ascii="inter" w:eastAsia="inter" w:hAnsi="inter" w:cs="inter"/>
          <w:color w:val="000000"/>
          <w:sz w:val="32"/>
          <w:szCs w:val="32"/>
        </w:rPr>
        <w:t xml:space="preserve">. The </w:t>
      </w:r>
      <w:r w:rsidRPr="007316FD">
        <w:rPr>
          <w:rFonts w:ascii="inter" w:eastAsia="inter" w:hAnsi="inter" w:cs="inter"/>
          <w:b/>
          <w:color w:val="000000"/>
          <w:sz w:val="32"/>
          <w:szCs w:val="32"/>
        </w:rPr>
        <w:t>"time in market vs timing the market"</w:t>
      </w:r>
      <w:r w:rsidRPr="007316FD">
        <w:rPr>
          <w:rFonts w:ascii="inter" w:eastAsia="inter" w:hAnsi="inter" w:cs="inter"/>
          <w:color w:val="000000"/>
          <w:sz w:val="32"/>
          <w:szCs w:val="32"/>
        </w:rPr>
        <w:t xml:space="preserve"> debate suggests that </w:t>
      </w:r>
      <w:r w:rsidRPr="007316FD">
        <w:rPr>
          <w:rFonts w:ascii="inter" w:eastAsia="inter" w:hAnsi="inter" w:cs="inter"/>
          <w:color w:val="000000"/>
          <w:sz w:val="32"/>
          <w:szCs w:val="32"/>
        </w:rPr>
        <w:lastRenderedPageBreak/>
        <w:t>while long-term holding strategies work for passive investors, they may be suboptimal for active trading scenarios</w:t>
      </w:r>
      <w:bookmarkStart w:id="16" w:name="fnref10:1"/>
      <w:bookmarkEnd w:id="16"/>
      <w:r w:rsidRPr="007316FD">
        <w:rPr>
          <w:rFonts w:ascii="inter" w:hAnsi="inter"/>
          <w:sz w:val="32"/>
          <w:szCs w:val="32"/>
        </w:rPr>
        <w:fldChar w:fldCharType="begin"/>
      </w:r>
      <w:r w:rsidRPr="007316FD">
        <w:rPr>
          <w:rFonts w:ascii="inter" w:hAnsi="inter"/>
          <w:sz w:val="32"/>
          <w:szCs w:val="32"/>
        </w:rPr>
        <w:instrText>HYPERLINK \l "fn10"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[10]</w:t>
      </w:r>
      <w:r w:rsidRPr="007316FD">
        <w:rPr>
          <w:rFonts w:ascii="inter" w:hAnsi="inter"/>
          <w:sz w:val="32"/>
          <w:szCs w:val="32"/>
        </w:rPr>
        <w:fldChar w:fldCharType="end"/>
      </w:r>
      <w:bookmarkStart w:id="17" w:name="fnref12"/>
      <w:bookmarkEnd w:id="17"/>
      <w:r w:rsidRPr="007316FD">
        <w:rPr>
          <w:rFonts w:ascii="inter" w:hAnsi="inter"/>
          <w:sz w:val="32"/>
          <w:szCs w:val="32"/>
        </w:rPr>
        <w:fldChar w:fldCharType="begin"/>
      </w:r>
      <w:r w:rsidRPr="007316FD">
        <w:rPr>
          <w:rFonts w:ascii="inter" w:hAnsi="inter"/>
          <w:sz w:val="32"/>
          <w:szCs w:val="32"/>
        </w:rPr>
        <w:instrText>HYPERLINK \l "fn12"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[12]</w:t>
      </w:r>
      <w:r w:rsidRPr="007316FD">
        <w:rPr>
          <w:rFonts w:ascii="inter" w:hAnsi="inter"/>
          <w:sz w:val="32"/>
          <w:szCs w:val="32"/>
        </w:rPr>
        <w:fldChar w:fldCharType="end"/>
      </w:r>
      <w:r w:rsidRPr="007316FD">
        <w:rPr>
          <w:rFonts w:ascii="inter" w:eastAsia="inter" w:hAnsi="inter" w:cs="inter"/>
          <w:color w:val="000000"/>
          <w:sz w:val="32"/>
          <w:szCs w:val="32"/>
        </w:rPr>
        <w:t>.</w:t>
      </w:r>
    </w:p>
    <w:p w14:paraId="52600BDF"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Market Noise</w:t>
      </w:r>
      <w:r w:rsidRPr="007316FD">
        <w:rPr>
          <w:rFonts w:ascii="inter" w:eastAsia="inter" w:hAnsi="inter" w:cs="inter"/>
          <w:color w:val="000000"/>
          <w:sz w:val="32"/>
          <w:szCs w:val="32"/>
        </w:rPr>
        <w:t xml:space="preserve">: Hold decisions are most susceptible to </w:t>
      </w:r>
      <w:r w:rsidRPr="007316FD">
        <w:rPr>
          <w:rFonts w:ascii="inter" w:eastAsia="inter" w:hAnsi="inter" w:cs="inter"/>
          <w:b/>
          <w:color w:val="000000"/>
          <w:sz w:val="32"/>
          <w:szCs w:val="32"/>
        </w:rPr>
        <w:t>market noise and false signals</w:t>
      </w:r>
      <w:r w:rsidRPr="007316FD">
        <w:rPr>
          <w:rFonts w:ascii="inter" w:eastAsia="inter" w:hAnsi="inter" w:cs="inter"/>
          <w:color w:val="000000"/>
          <w:sz w:val="32"/>
          <w:szCs w:val="32"/>
        </w:rPr>
        <w:t>, as they require the LLM to filter out temporary fluctuations from genuine trends</w:t>
      </w:r>
      <w:bookmarkStart w:id="18" w:name="fnref4:2"/>
      <w:bookmarkEnd w:id="18"/>
      <w:r w:rsidRPr="007316FD">
        <w:rPr>
          <w:rFonts w:ascii="inter" w:hAnsi="inter"/>
          <w:sz w:val="32"/>
          <w:szCs w:val="32"/>
        </w:rPr>
        <w:fldChar w:fldCharType="begin"/>
      </w:r>
      <w:r w:rsidRPr="007316FD">
        <w:rPr>
          <w:rFonts w:ascii="inter" w:hAnsi="inter"/>
          <w:sz w:val="32"/>
          <w:szCs w:val="32"/>
        </w:rPr>
        <w:instrText>HYPERLINK \l "fn4"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[4]</w:t>
      </w:r>
      <w:r w:rsidRPr="007316FD">
        <w:rPr>
          <w:rFonts w:ascii="inter" w:hAnsi="inter"/>
          <w:sz w:val="32"/>
          <w:szCs w:val="32"/>
        </w:rPr>
        <w:fldChar w:fldCharType="end"/>
      </w:r>
      <w:r w:rsidRPr="007316FD">
        <w:rPr>
          <w:rFonts w:ascii="inter" w:eastAsia="inter" w:hAnsi="inter" w:cs="inter"/>
          <w:color w:val="000000"/>
          <w:sz w:val="32"/>
          <w:szCs w:val="32"/>
        </w:rPr>
        <w:t>. This creates higher uncertainty and error rates.</w:t>
      </w:r>
    </w:p>
    <w:p w14:paraId="49B44041"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Sector Volatility</w:t>
      </w:r>
      <w:r w:rsidRPr="007316FD">
        <w:rPr>
          <w:rFonts w:ascii="inter" w:eastAsia="inter" w:hAnsi="inter" w:cs="inter"/>
          <w:color w:val="000000"/>
          <w:sz w:val="32"/>
          <w:szCs w:val="32"/>
        </w:rPr>
        <w:t>: Hold actions perform particularly poorly in high-volatility sectors like technology and fintech, where rapid price movements make neutral positions less viable</w:t>
      </w:r>
      <w:bookmarkStart w:id="19" w:name="fnref13"/>
      <w:bookmarkEnd w:id="19"/>
      <w:r w:rsidRPr="007316FD">
        <w:rPr>
          <w:rFonts w:ascii="inter" w:hAnsi="inter"/>
          <w:sz w:val="32"/>
          <w:szCs w:val="32"/>
        </w:rPr>
        <w:fldChar w:fldCharType="begin"/>
      </w:r>
      <w:r w:rsidRPr="007316FD">
        <w:rPr>
          <w:rFonts w:ascii="inter" w:hAnsi="inter"/>
          <w:sz w:val="32"/>
          <w:szCs w:val="32"/>
        </w:rPr>
        <w:instrText>HYPERLINK \l "fn13"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[13]</w:t>
      </w:r>
      <w:r w:rsidRPr="007316FD">
        <w:rPr>
          <w:rFonts w:ascii="inter" w:hAnsi="inter"/>
          <w:sz w:val="32"/>
          <w:szCs w:val="32"/>
        </w:rPr>
        <w:fldChar w:fldCharType="end"/>
      </w:r>
      <w:r w:rsidRPr="007316FD">
        <w:rPr>
          <w:rFonts w:ascii="inter" w:eastAsia="inter" w:hAnsi="inter" w:cs="inter"/>
          <w:color w:val="000000"/>
          <w:sz w:val="32"/>
          <w:szCs w:val="32"/>
        </w:rPr>
        <w:t>.</w:t>
      </w:r>
    </w:p>
    <w:p w14:paraId="2311DA14"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4. Sector-Specific Vulnerabilities</w:t>
      </w:r>
    </w:p>
    <w:p w14:paraId="7EE7EA48"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Finding</w:t>
      </w:r>
      <w:r w:rsidRPr="007316FD">
        <w:rPr>
          <w:rFonts w:ascii="inter" w:eastAsia="inter" w:hAnsi="inter" w:cs="inter"/>
          <w:color w:val="000000"/>
          <w:sz w:val="32"/>
          <w:szCs w:val="32"/>
        </w:rPr>
        <w:t>: High-volatility sectors (Technology: 18.87%, FinTech: 18.74%, EV Auto: 16.89%) show significantly higher error rates compared to stable sectors (Finance: 3.20%, Consumer: 8.34%)</w:t>
      </w:r>
      <w:bookmarkStart w:id="20" w:name="fnref1:3"/>
      <w:bookmarkEnd w:id="20"/>
      <w:r w:rsidRPr="007316FD">
        <w:rPr>
          <w:rFonts w:ascii="inter" w:hAnsi="inter"/>
          <w:sz w:val="32"/>
          <w:szCs w:val="32"/>
        </w:rPr>
        <w:fldChar w:fldCharType="begin"/>
      </w:r>
      <w:r w:rsidRPr="007316FD">
        <w:rPr>
          <w:rFonts w:ascii="inter" w:hAnsi="inter"/>
          <w:sz w:val="32"/>
          <w:szCs w:val="32"/>
        </w:rPr>
        <w:instrText>HYPERLINK \l "fn1"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w:t>
      </w:r>
      <w:r w:rsidRPr="007316FD">
        <w:rPr>
          <w:rFonts w:ascii="inter" w:hAnsi="inter"/>
          <w:sz w:val="32"/>
          <w:szCs w:val="32"/>
        </w:rPr>
        <w:fldChar w:fldCharType="end"/>
      </w:r>
      <w:r w:rsidRPr="007316FD">
        <w:rPr>
          <w:rFonts w:ascii="inter" w:eastAsia="inter" w:hAnsi="inter" w:cs="inter"/>
          <w:color w:val="000000"/>
          <w:sz w:val="32"/>
          <w:szCs w:val="32"/>
        </w:rPr>
        <w:t>.</w:t>
      </w:r>
    </w:p>
    <w:p w14:paraId="2213D521"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Theoretical Framework</w:t>
      </w:r>
      <w:r w:rsidRPr="007316FD">
        <w:rPr>
          <w:rFonts w:ascii="inter" w:eastAsia="inter" w:hAnsi="inter" w:cs="inter"/>
          <w:color w:val="000000"/>
          <w:sz w:val="32"/>
          <w:szCs w:val="32"/>
        </w:rPr>
        <w:t xml:space="preserve">: This pattern reflects fundamental differences in </w:t>
      </w:r>
      <w:r w:rsidRPr="007316FD">
        <w:rPr>
          <w:rFonts w:ascii="inter" w:eastAsia="inter" w:hAnsi="inter" w:cs="inter"/>
          <w:b/>
          <w:color w:val="000000"/>
          <w:sz w:val="32"/>
          <w:szCs w:val="32"/>
        </w:rPr>
        <w:t>sector-specific market dynamics</w:t>
      </w:r>
      <w:r w:rsidRPr="007316FD">
        <w:rPr>
          <w:rFonts w:ascii="inter" w:eastAsia="inter" w:hAnsi="inter" w:cs="inter"/>
          <w:color w:val="000000"/>
          <w:sz w:val="32"/>
          <w:szCs w:val="32"/>
        </w:rPr>
        <w:t>:</w:t>
      </w:r>
    </w:p>
    <w:p w14:paraId="6DE407F6"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Technology Sector Volatility</w:t>
      </w:r>
      <w:r w:rsidRPr="007316FD">
        <w:rPr>
          <w:rFonts w:ascii="inter" w:eastAsia="inter" w:hAnsi="inter" w:cs="inter"/>
          <w:color w:val="000000"/>
          <w:sz w:val="32"/>
          <w:szCs w:val="32"/>
        </w:rPr>
        <w:t>: Technology stocks are inherently more volatile due to rapid innovation cycles, regulatory uncertainties, and growth expectations</w:t>
      </w:r>
      <w:bookmarkStart w:id="21" w:name="fnref13:1"/>
      <w:bookmarkEnd w:id="21"/>
      <w:r w:rsidRPr="007316FD">
        <w:rPr>
          <w:rFonts w:ascii="inter" w:hAnsi="inter"/>
          <w:sz w:val="32"/>
          <w:szCs w:val="32"/>
        </w:rPr>
        <w:fldChar w:fldCharType="begin"/>
      </w:r>
      <w:r w:rsidRPr="007316FD">
        <w:rPr>
          <w:rFonts w:ascii="inter" w:hAnsi="inter"/>
          <w:sz w:val="32"/>
          <w:szCs w:val="32"/>
        </w:rPr>
        <w:instrText>HYPERLINK \l "fn13"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[13]</w:t>
      </w:r>
      <w:r w:rsidRPr="007316FD">
        <w:rPr>
          <w:rFonts w:ascii="inter" w:hAnsi="inter"/>
          <w:sz w:val="32"/>
          <w:szCs w:val="32"/>
        </w:rPr>
        <w:fldChar w:fldCharType="end"/>
      </w:r>
      <w:bookmarkStart w:id="22" w:name="fnref14"/>
      <w:bookmarkEnd w:id="22"/>
      <w:r w:rsidRPr="007316FD">
        <w:rPr>
          <w:rFonts w:ascii="inter" w:hAnsi="inter"/>
          <w:sz w:val="32"/>
          <w:szCs w:val="32"/>
        </w:rPr>
        <w:fldChar w:fldCharType="begin"/>
      </w:r>
      <w:r w:rsidRPr="007316FD">
        <w:rPr>
          <w:rFonts w:ascii="inter" w:hAnsi="inter"/>
          <w:sz w:val="32"/>
          <w:szCs w:val="32"/>
        </w:rPr>
        <w:instrText>HYPERLINK \l "fn14"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[14]</w:t>
      </w:r>
      <w:r w:rsidRPr="007316FD">
        <w:rPr>
          <w:rFonts w:ascii="inter" w:hAnsi="inter"/>
          <w:sz w:val="32"/>
          <w:szCs w:val="32"/>
        </w:rPr>
        <w:fldChar w:fldCharType="end"/>
      </w:r>
      <w:r w:rsidRPr="007316FD">
        <w:rPr>
          <w:rFonts w:ascii="inter" w:eastAsia="inter" w:hAnsi="inter" w:cs="inter"/>
          <w:color w:val="000000"/>
          <w:sz w:val="32"/>
          <w:szCs w:val="32"/>
        </w:rPr>
        <w:t xml:space="preserve">. The </w:t>
      </w:r>
      <w:r w:rsidRPr="007316FD">
        <w:rPr>
          <w:rFonts w:ascii="inter" w:eastAsia="inter" w:hAnsi="inter" w:cs="inter"/>
          <w:b/>
          <w:color w:val="000000"/>
          <w:sz w:val="32"/>
          <w:szCs w:val="32"/>
        </w:rPr>
        <w:t>sector's high beta coefficient</w:t>
      </w:r>
      <w:r w:rsidRPr="007316FD">
        <w:rPr>
          <w:rFonts w:ascii="inter" w:eastAsia="inter" w:hAnsi="inter" w:cs="inter"/>
          <w:color w:val="000000"/>
          <w:sz w:val="32"/>
          <w:szCs w:val="32"/>
        </w:rPr>
        <w:t xml:space="preserve"> makes it more sensitive to market sentiment and news events, creating greater prediction challenges for LLM agents.</w:t>
      </w:r>
    </w:p>
    <w:p w14:paraId="60125250"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lastRenderedPageBreak/>
        <w:t>Financial Sector Stability</w:t>
      </w:r>
      <w:r w:rsidRPr="007316FD">
        <w:rPr>
          <w:rFonts w:ascii="inter" w:eastAsia="inter" w:hAnsi="inter" w:cs="inter"/>
          <w:color w:val="000000"/>
          <w:sz w:val="32"/>
          <w:szCs w:val="32"/>
        </w:rPr>
        <w:t>: Traditional financial sectors exhibit lower volatility due to regulatory constraints, established business models, and predictable cash flows</w:t>
      </w:r>
      <w:bookmarkStart w:id="23" w:name="fnref13:2"/>
      <w:bookmarkEnd w:id="23"/>
      <w:r w:rsidRPr="007316FD">
        <w:rPr>
          <w:rFonts w:ascii="inter" w:hAnsi="inter"/>
          <w:sz w:val="32"/>
          <w:szCs w:val="32"/>
        </w:rPr>
        <w:fldChar w:fldCharType="begin"/>
      </w:r>
      <w:r w:rsidRPr="007316FD">
        <w:rPr>
          <w:rFonts w:ascii="inter" w:hAnsi="inter"/>
          <w:sz w:val="32"/>
          <w:szCs w:val="32"/>
        </w:rPr>
        <w:instrText>HYPERLINK \l "fn13"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[13]</w:t>
      </w:r>
      <w:r w:rsidRPr="007316FD">
        <w:rPr>
          <w:rFonts w:ascii="inter" w:hAnsi="inter"/>
          <w:sz w:val="32"/>
          <w:szCs w:val="32"/>
        </w:rPr>
        <w:fldChar w:fldCharType="end"/>
      </w:r>
      <w:r w:rsidRPr="007316FD">
        <w:rPr>
          <w:rFonts w:ascii="inter" w:eastAsia="inter" w:hAnsi="inter" w:cs="inter"/>
          <w:color w:val="000000"/>
          <w:sz w:val="32"/>
          <w:szCs w:val="32"/>
        </w:rPr>
        <w:t>. This stability makes them more amenable to LLM prediction models.</w:t>
      </w:r>
    </w:p>
    <w:p w14:paraId="39ECC145"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Innovation Premium</w:t>
      </w:r>
      <w:r w:rsidRPr="007316FD">
        <w:rPr>
          <w:rFonts w:ascii="inter" w:eastAsia="inter" w:hAnsi="inter" w:cs="inter"/>
          <w:color w:val="000000"/>
          <w:sz w:val="32"/>
          <w:szCs w:val="32"/>
        </w:rPr>
        <w:t xml:space="preserve">: High-tech sectors command </w:t>
      </w:r>
      <w:r w:rsidRPr="007316FD">
        <w:rPr>
          <w:rFonts w:ascii="inter" w:eastAsia="inter" w:hAnsi="inter" w:cs="inter"/>
          <w:b/>
          <w:color w:val="000000"/>
          <w:sz w:val="32"/>
          <w:szCs w:val="32"/>
        </w:rPr>
        <w:t>innovation premiums</w:t>
      </w:r>
      <w:r w:rsidRPr="007316FD">
        <w:rPr>
          <w:rFonts w:ascii="inter" w:eastAsia="inter" w:hAnsi="inter" w:cs="inter"/>
          <w:color w:val="000000"/>
          <w:sz w:val="32"/>
          <w:szCs w:val="32"/>
        </w:rPr>
        <w:t xml:space="preserve"> that create valuation uncertainties, making them harder to predict using historical patterns and sentiment analysis</w:t>
      </w:r>
      <w:bookmarkStart w:id="24" w:name="fnref15"/>
      <w:bookmarkEnd w:id="24"/>
      <w:r w:rsidRPr="007316FD">
        <w:rPr>
          <w:rFonts w:ascii="inter" w:hAnsi="inter"/>
          <w:sz w:val="32"/>
          <w:szCs w:val="32"/>
        </w:rPr>
        <w:fldChar w:fldCharType="begin"/>
      </w:r>
      <w:r w:rsidRPr="007316FD">
        <w:rPr>
          <w:rFonts w:ascii="inter" w:hAnsi="inter"/>
          <w:sz w:val="32"/>
          <w:szCs w:val="32"/>
        </w:rPr>
        <w:instrText>HYPERLINK \l "fn15"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[15]</w:t>
      </w:r>
      <w:r w:rsidRPr="007316FD">
        <w:rPr>
          <w:rFonts w:ascii="inter" w:hAnsi="inter"/>
          <w:sz w:val="32"/>
          <w:szCs w:val="32"/>
        </w:rPr>
        <w:fldChar w:fldCharType="end"/>
      </w:r>
      <w:bookmarkStart w:id="25" w:name="fnref16"/>
      <w:bookmarkEnd w:id="25"/>
      <w:r w:rsidRPr="007316FD">
        <w:rPr>
          <w:rFonts w:ascii="inter" w:hAnsi="inter"/>
          <w:sz w:val="32"/>
          <w:szCs w:val="32"/>
        </w:rPr>
        <w:fldChar w:fldCharType="begin"/>
      </w:r>
      <w:r w:rsidRPr="007316FD">
        <w:rPr>
          <w:rFonts w:ascii="inter" w:hAnsi="inter"/>
          <w:sz w:val="32"/>
          <w:szCs w:val="32"/>
        </w:rPr>
        <w:instrText>HYPERLINK \l "fn16"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[16]</w:t>
      </w:r>
      <w:r w:rsidRPr="007316FD">
        <w:rPr>
          <w:rFonts w:ascii="inter" w:hAnsi="inter"/>
          <w:sz w:val="32"/>
          <w:szCs w:val="32"/>
        </w:rPr>
        <w:fldChar w:fldCharType="end"/>
      </w:r>
      <w:r w:rsidRPr="007316FD">
        <w:rPr>
          <w:rFonts w:ascii="inter" w:eastAsia="inter" w:hAnsi="inter" w:cs="inter"/>
          <w:color w:val="000000"/>
          <w:sz w:val="32"/>
          <w:szCs w:val="32"/>
        </w:rPr>
        <w:t>.</w:t>
      </w:r>
    </w:p>
    <w:p w14:paraId="4ABF57B9"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5. News Sentiment Decay Effects</w:t>
      </w:r>
    </w:p>
    <w:p w14:paraId="29951E03"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Finding</w:t>
      </w:r>
      <w:r w:rsidRPr="007316FD">
        <w:rPr>
          <w:rFonts w:ascii="inter" w:eastAsia="inter" w:hAnsi="inter" w:cs="inter"/>
          <w:color w:val="000000"/>
          <w:sz w:val="32"/>
          <w:szCs w:val="32"/>
        </w:rPr>
        <w:t>: Missed opportunities decrease from 22.35% (Day 1) to 5.58% (Day 7), indicating that immediate LLM advice is more susceptible to suboptimal decisions</w:t>
      </w:r>
      <w:bookmarkStart w:id="26" w:name="fnref1:4"/>
      <w:bookmarkEnd w:id="26"/>
      <w:r w:rsidRPr="007316FD">
        <w:rPr>
          <w:rFonts w:ascii="inter" w:hAnsi="inter"/>
          <w:sz w:val="32"/>
          <w:szCs w:val="32"/>
        </w:rPr>
        <w:fldChar w:fldCharType="begin"/>
      </w:r>
      <w:r w:rsidRPr="007316FD">
        <w:rPr>
          <w:rFonts w:ascii="inter" w:hAnsi="inter"/>
          <w:sz w:val="32"/>
          <w:szCs w:val="32"/>
        </w:rPr>
        <w:instrText>HYPERLINK \l "fn1"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w:t>
      </w:r>
      <w:r w:rsidRPr="007316FD">
        <w:rPr>
          <w:rFonts w:ascii="inter" w:hAnsi="inter"/>
          <w:sz w:val="32"/>
          <w:szCs w:val="32"/>
        </w:rPr>
        <w:fldChar w:fldCharType="end"/>
      </w:r>
      <w:r w:rsidRPr="007316FD">
        <w:rPr>
          <w:rFonts w:ascii="inter" w:eastAsia="inter" w:hAnsi="inter" w:cs="inter"/>
          <w:color w:val="000000"/>
          <w:sz w:val="32"/>
          <w:szCs w:val="32"/>
        </w:rPr>
        <w:t>.</w:t>
      </w:r>
    </w:p>
    <w:p w14:paraId="58AD2FB5"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Theoretical Explanation</w:t>
      </w:r>
      <w:r w:rsidRPr="007316FD">
        <w:rPr>
          <w:rFonts w:ascii="inter" w:eastAsia="inter" w:hAnsi="inter" w:cs="inter"/>
          <w:color w:val="000000"/>
          <w:sz w:val="32"/>
          <w:szCs w:val="32"/>
        </w:rPr>
        <w:t xml:space="preserve">: This pattern reflects the </w:t>
      </w:r>
      <w:r w:rsidRPr="007316FD">
        <w:rPr>
          <w:rFonts w:ascii="inter" w:eastAsia="inter" w:hAnsi="inter" w:cs="inter"/>
          <w:b/>
          <w:color w:val="000000"/>
          <w:sz w:val="32"/>
          <w:szCs w:val="32"/>
        </w:rPr>
        <w:t>temporal decay of news sentiment impact</w:t>
      </w:r>
      <w:r w:rsidRPr="007316FD">
        <w:rPr>
          <w:rFonts w:ascii="inter" w:eastAsia="inter" w:hAnsi="inter" w:cs="inter"/>
          <w:color w:val="000000"/>
          <w:sz w:val="32"/>
          <w:szCs w:val="32"/>
        </w:rPr>
        <w:t xml:space="preserve"> documented in financial literature. Research shows that:</w:t>
      </w:r>
    </w:p>
    <w:p w14:paraId="070C0BB3"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Immediate Overreaction</w:t>
      </w:r>
      <w:r w:rsidRPr="007316FD">
        <w:rPr>
          <w:rFonts w:ascii="inter" w:eastAsia="inter" w:hAnsi="inter" w:cs="inter"/>
          <w:color w:val="000000"/>
          <w:sz w:val="32"/>
          <w:szCs w:val="32"/>
        </w:rPr>
        <w:t>: Markets often overreact to news in the short term, creating opportunities that LLM agents may miss due to conservative positioning</w:t>
      </w:r>
      <w:bookmarkStart w:id="27" w:name="fnref2:1"/>
      <w:bookmarkEnd w:id="27"/>
      <w:r w:rsidRPr="007316FD">
        <w:rPr>
          <w:rFonts w:ascii="inter" w:hAnsi="inter"/>
          <w:sz w:val="32"/>
          <w:szCs w:val="32"/>
        </w:rPr>
        <w:fldChar w:fldCharType="begin"/>
      </w:r>
      <w:r w:rsidRPr="007316FD">
        <w:rPr>
          <w:rFonts w:ascii="inter" w:hAnsi="inter"/>
          <w:sz w:val="32"/>
          <w:szCs w:val="32"/>
        </w:rPr>
        <w:instrText>HYPERLINK \l "fn2"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w:t>
      </w:r>
      <w:r w:rsidRPr="007316FD">
        <w:rPr>
          <w:rFonts w:ascii="inter" w:hAnsi="inter"/>
          <w:sz w:val="32"/>
          <w:szCs w:val="32"/>
        </w:rPr>
        <w:fldChar w:fldCharType="end"/>
      </w:r>
      <w:bookmarkStart w:id="28" w:name="fnref7:2"/>
      <w:bookmarkEnd w:id="28"/>
      <w:r w:rsidRPr="007316FD">
        <w:rPr>
          <w:rFonts w:ascii="inter" w:hAnsi="inter"/>
          <w:sz w:val="32"/>
          <w:szCs w:val="32"/>
        </w:rPr>
        <w:fldChar w:fldCharType="begin"/>
      </w:r>
      <w:r w:rsidRPr="007316FD">
        <w:rPr>
          <w:rFonts w:ascii="inter" w:hAnsi="inter"/>
          <w:sz w:val="32"/>
          <w:szCs w:val="32"/>
        </w:rPr>
        <w:instrText>HYPERLINK \l "fn7"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[7]</w:t>
      </w:r>
      <w:r w:rsidRPr="007316FD">
        <w:rPr>
          <w:rFonts w:ascii="inter" w:hAnsi="inter"/>
          <w:sz w:val="32"/>
          <w:szCs w:val="32"/>
        </w:rPr>
        <w:fldChar w:fldCharType="end"/>
      </w:r>
      <w:r w:rsidRPr="007316FD">
        <w:rPr>
          <w:rFonts w:ascii="inter" w:eastAsia="inter" w:hAnsi="inter" w:cs="inter"/>
          <w:color w:val="000000"/>
          <w:sz w:val="32"/>
          <w:szCs w:val="32"/>
        </w:rPr>
        <w:t>.</w:t>
      </w:r>
    </w:p>
    <w:p w14:paraId="74297671"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t>Gradual Price Discovery</w:t>
      </w:r>
      <w:r w:rsidRPr="007316FD">
        <w:rPr>
          <w:rFonts w:ascii="inter" w:eastAsia="inter" w:hAnsi="inter" w:cs="inter"/>
          <w:color w:val="000000"/>
          <w:sz w:val="32"/>
          <w:szCs w:val="32"/>
        </w:rPr>
        <w:t xml:space="preserve">: As markets process information over time, </w:t>
      </w:r>
      <w:r w:rsidRPr="007316FD">
        <w:rPr>
          <w:rFonts w:ascii="inter" w:eastAsia="inter" w:hAnsi="inter" w:cs="inter"/>
          <w:b/>
          <w:color w:val="000000"/>
          <w:sz w:val="32"/>
          <w:szCs w:val="32"/>
        </w:rPr>
        <w:t>price discovery mechanisms</w:t>
      </w:r>
      <w:r w:rsidRPr="007316FD">
        <w:rPr>
          <w:rFonts w:ascii="inter" w:eastAsia="inter" w:hAnsi="inter" w:cs="inter"/>
          <w:color w:val="000000"/>
          <w:sz w:val="32"/>
          <w:szCs w:val="32"/>
        </w:rPr>
        <w:t xml:space="preserve"> lead to more accurate valuations, reducing the magnitude of missed opportunities</w:t>
      </w:r>
      <w:bookmarkStart w:id="29" w:name="fnref2:2"/>
      <w:bookmarkEnd w:id="29"/>
      <w:r w:rsidRPr="007316FD">
        <w:rPr>
          <w:rFonts w:ascii="inter" w:hAnsi="inter"/>
          <w:sz w:val="32"/>
          <w:szCs w:val="32"/>
        </w:rPr>
        <w:fldChar w:fldCharType="begin"/>
      </w:r>
      <w:r w:rsidRPr="007316FD">
        <w:rPr>
          <w:rFonts w:ascii="inter" w:hAnsi="inter"/>
          <w:sz w:val="32"/>
          <w:szCs w:val="32"/>
        </w:rPr>
        <w:instrText>HYPERLINK \l "fn2"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w:t>
      </w:r>
      <w:r w:rsidRPr="007316FD">
        <w:rPr>
          <w:rFonts w:ascii="inter" w:hAnsi="inter"/>
          <w:sz w:val="32"/>
          <w:szCs w:val="32"/>
        </w:rPr>
        <w:fldChar w:fldCharType="end"/>
      </w:r>
      <w:r w:rsidRPr="007316FD">
        <w:rPr>
          <w:rFonts w:ascii="inter" w:eastAsia="inter" w:hAnsi="inter" w:cs="inter"/>
          <w:color w:val="000000"/>
          <w:sz w:val="32"/>
          <w:szCs w:val="32"/>
        </w:rPr>
        <w:t>.</w:t>
      </w:r>
    </w:p>
    <w:p w14:paraId="75B1B187" w14:textId="77777777" w:rsidR="00FE27C3" w:rsidRPr="007316FD" w:rsidRDefault="00436E69">
      <w:pPr>
        <w:spacing w:after="210" w:line="360" w:lineRule="auto"/>
        <w:rPr>
          <w:rFonts w:ascii="inter" w:hAnsi="inter"/>
          <w:sz w:val="32"/>
          <w:szCs w:val="32"/>
        </w:rPr>
      </w:pPr>
      <w:r w:rsidRPr="007316FD">
        <w:rPr>
          <w:rFonts w:ascii="inter" w:eastAsia="inter" w:hAnsi="inter" w:cs="inter"/>
          <w:b/>
          <w:color w:val="000000"/>
          <w:sz w:val="32"/>
          <w:szCs w:val="32"/>
        </w:rPr>
        <w:lastRenderedPageBreak/>
        <w:t>Sentiment Stabilization</w:t>
      </w:r>
      <w:r w:rsidRPr="007316FD">
        <w:rPr>
          <w:rFonts w:ascii="inter" w:eastAsia="inter" w:hAnsi="inter" w:cs="inter"/>
          <w:color w:val="000000"/>
          <w:sz w:val="32"/>
          <w:szCs w:val="32"/>
        </w:rPr>
        <w:t xml:space="preserve">: The </w:t>
      </w:r>
      <w:r w:rsidRPr="007316FD">
        <w:rPr>
          <w:rFonts w:ascii="inter" w:eastAsia="inter" w:hAnsi="inter" w:cs="inter"/>
          <w:b/>
          <w:color w:val="000000"/>
          <w:sz w:val="32"/>
          <w:szCs w:val="32"/>
        </w:rPr>
        <w:t>half-life of news sentiment</w:t>
      </w:r>
      <w:r w:rsidRPr="007316FD">
        <w:rPr>
          <w:rFonts w:ascii="inter" w:eastAsia="inter" w:hAnsi="inter" w:cs="inter"/>
          <w:color w:val="000000"/>
          <w:sz w:val="32"/>
          <w:szCs w:val="32"/>
        </w:rPr>
        <w:t xml:space="preserve"> typically ranges from hours to days, with strongest effects occurring immediately after news release</w:t>
      </w:r>
      <w:bookmarkStart w:id="30" w:name="fnref17"/>
      <w:bookmarkEnd w:id="30"/>
      <w:r w:rsidRPr="007316FD">
        <w:rPr>
          <w:rFonts w:ascii="inter" w:hAnsi="inter"/>
          <w:sz w:val="32"/>
          <w:szCs w:val="32"/>
        </w:rPr>
        <w:fldChar w:fldCharType="begin"/>
      </w:r>
      <w:r w:rsidRPr="007316FD">
        <w:rPr>
          <w:rFonts w:ascii="inter" w:hAnsi="inter"/>
          <w:sz w:val="32"/>
          <w:szCs w:val="32"/>
        </w:rPr>
        <w:instrText>HYPERLINK \l "fn17"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[17]</w:t>
      </w:r>
      <w:r w:rsidRPr="007316FD">
        <w:rPr>
          <w:rFonts w:ascii="inter" w:hAnsi="inter"/>
          <w:sz w:val="32"/>
          <w:szCs w:val="32"/>
        </w:rPr>
        <w:fldChar w:fldCharType="end"/>
      </w:r>
      <w:bookmarkStart w:id="31" w:name="fnref3:2"/>
      <w:bookmarkEnd w:id="31"/>
      <w:r w:rsidRPr="007316FD">
        <w:rPr>
          <w:rFonts w:ascii="inter" w:hAnsi="inter"/>
          <w:sz w:val="32"/>
          <w:szCs w:val="32"/>
        </w:rPr>
        <w:fldChar w:fldCharType="begin"/>
      </w:r>
      <w:r w:rsidRPr="007316FD">
        <w:rPr>
          <w:rFonts w:ascii="inter" w:hAnsi="inter"/>
          <w:sz w:val="32"/>
          <w:szCs w:val="32"/>
        </w:rPr>
        <w:instrText>HYPERLINK \l "fn3"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[3]</w:t>
      </w:r>
      <w:r w:rsidRPr="007316FD">
        <w:rPr>
          <w:rFonts w:ascii="inter" w:hAnsi="inter"/>
          <w:sz w:val="32"/>
          <w:szCs w:val="32"/>
        </w:rPr>
        <w:fldChar w:fldCharType="end"/>
      </w:r>
      <w:r w:rsidRPr="007316FD">
        <w:rPr>
          <w:rFonts w:ascii="inter" w:eastAsia="inter" w:hAnsi="inter" w:cs="inter"/>
          <w:color w:val="000000"/>
          <w:sz w:val="32"/>
          <w:szCs w:val="32"/>
        </w:rPr>
        <w:t>.</w:t>
      </w:r>
    </w:p>
    <w:p w14:paraId="3CF47836"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Methodological Implications</w:t>
      </w:r>
    </w:p>
    <w:p w14:paraId="09B48650"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1. Model Calibration</w:t>
      </w:r>
    </w:p>
    <w:p w14:paraId="6D91649B"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The research suggests that LLM agents should be </w:t>
      </w:r>
      <w:r w:rsidRPr="007316FD">
        <w:rPr>
          <w:rFonts w:ascii="inter" w:eastAsia="inter" w:hAnsi="inter" w:cs="inter"/>
          <w:b/>
          <w:color w:val="000000"/>
          <w:sz w:val="32"/>
          <w:szCs w:val="32"/>
        </w:rPr>
        <w:t>calibrated for different time horizons</w:t>
      </w:r>
      <w:r w:rsidRPr="007316FD">
        <w:rPr>
          <w:rFonts w:ascii="inter" w:eastAsia="inter" w:hAnsi="inter" w:cs="inter"/>
          <w:color w:val="000000"/>
          <w:sz w:val="32"/>
          <w:szCs w:val="32"/>
        </w:rPr>
        <w:t xml:space="preserve">, with separate models optimized for intraday (Day 1), short-term (Day 3), and medium-term (Day 7) predictions. This approach would account for the </w:t>
      </w:r>
      <w:r w:rsidRPr="007316FD">
        <w:rPr>
          <w:rFonts w:ascii="inter" w:eastAsia="inter" w:hAnsi="inter" w:cs="inter"/>
          <w:b/>
          <w:color w:val="000000"/>
          <w:sz w:val="32"/>
          <w:szCs w:val="32"/>
        </w:rPr>
        <w:t>temporal decay of predictive signals</w:t>
      </w:r>
      <w:r w:rsidRPr="007316FD">
        <w:rPr>
          <w:rFonts w:ascii="inter" w:eastAsia="inter" w:hAnsi="inter" w:cs="inter"/>
          <w:color w:val="000000"/>
          <w:sz w:val="32"/>
          <w:szCs w:val="32"/>
        </w:rPr>
        <w:t xml:space="preserve"> and optimize performance for specific trading strategies</w:t>
      </w:r>
      <w:bookmarkStart w:id="32" w:name="fnref18"/>
      <w:bookmarkEnd w:id="32"/>
      <w:r w:rsidRPr="007316FD">
        <w:rPr>
          <w:rFonts w:ascii="inter" w:hAnsi="inter"/>
          <w:sz w:val="32"/>
          <w:szCs w:val="32"/>
        </w:rPr>
        <w:fldChar w:fldCharType="begin"/>
      </w:r>
      <w:r w:rsidRPr="007316FD">
        <w:rPr>
          <w:rFonts w:ascii="inter" w:hAnsi="inter"/>
          <w:sz w:val="32"/>
          <w:szCs w:val="32"/>
        </w:rPr>
        <w:instrText>HYPERLINK \l "fn18"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[18]</w:t>
      </w:r>
      <w:r w:rsidRPr="007316FD">
        <w:rPr>
          <w:rFonts w:ascii="inter" w:hAnsi="inter"/>
          <w:sz w:val="32"/>
          <w:szCs w:val="32"/>
        </w:rPr>
        <w:fldChar w:fldCharType="end"/>
      </w:r>
      <w:bookmarkStart w:id="33" w:name="fnref19"/>
      <w:bookmarkEnd w:id="33"/>
      <w:r w:rsidRPr="007316FD">
        <w:rPr>
          <w:rFonts w:ascii="inter" w:hAnsi="inter"/>
          <w:sz w:val="32"/>
          <w:szCs w:val="32"/>
        </w:rPr>
        <w:fldChar w:fldCharType="begin"/>
      </w:r>
      <w:r w:rsidRPr="007316FD">
        <w:rPr>
          <w:rFonts w:ascii="inter" w:hAnsi="inter"/>
          <w:sz w:val="32"/>
          <w:szCs w:val="32"/>
        </w:rPr>
        <w:instrText>HYPERLINK \l "fn19"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[19]</w:t>
      </w:r>
      <w:r w:rsidRPr="007316FD">
        <w:rPr>
          <w:rFonts w:ascii="inter" w:hAnsi="inter"/>
          <w:sz w:val="32"/>
          <w:szCs w:val="32"/>
        </w:rPr>
        <w:fldChar w:fldCharType="end"/>
      </w:r>
      <w:r w:rsidRPr="007316FD">
        <w:rPr>
          <w:rFonts w:ascii="inter" w:eastAsia="inter" w:hAnsi="inter" w:cs="inter"/>
          <w:color w:val="000000"/>
          <w:sz w:val="32"/>
          <w:szCs w:val="32"/>
        </w:rPr>
        <w:t>.</w:t>
      </w:r>
    </w:p>
    <w:p w14:paraId="7DCD7B53"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2. Sector-Specific Modeling</w:t>
      </w:r>
    </w:p>
    <w:p w14:paraId="4F012A72"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The significant performance variations across sectors indicate the need for </w:t>
      </w:r>
      <w:r w:rsidRPr="007316FD">
        <w:rPr>
          <w:rFonts w:ascii="inter" w:eastAsia="inter" w:hAnsi="inter" w:cs="inter"/>
          <w:b/>
          <w:color w:val="000000"/>
          <w:sz w:val="32"/>
          <w:szCs w:val="32"/>
        </w:rPr>
        <w:t>sector-specific LLM training</w:t>
      </w:r>
      <w:r w:rsidRPr="007316FD">
        <w:rPr>
          <w:rFonts w:ascii="inter" w:eastAsia="inter" w:hAnsi="inter" w:cs="inter"/>
          <w:color w:val="000000"/>
          <w:sz w:val="32"/>
          <w:szCs w:val="32"/>
        </w:rPr>
        <w:t xml:space="preserve"> and parameter tuning. High-volatility sectors require different risk thresholds and sentiment weighting compared to stable sectors</w:t>
      </w:r>
      <w:bookmarkStart w:id="34" w:name="fnref18:1"/>
      <w:bookmarkEnd w:id="34"/>
      <w:r w:rsidRPr="007316FD">
        <w:rPr>
          <w:rFonts w:ascii="inter" w:hAnsi="inter"/>
          <w:sz w:val="32"/>
          <w:szCs w:val="32"/>
        </w:rPr>
        <w:fldChar w:fldCharType="begin"/>
      </w:r>
      <w:r w:rsidRPr="007316FD">
        <w:rPr>
          <w:rFonts w:ascii="inter" w:hAnsi="inter"/>
          <w:sz w:val="32"/>
          <w:szCs w:val="32"/>
        </w:rPr>
        <w:instrText>HYPERLINK \l "fn18"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[18]</w:t>
      </w:r>
      <w:r w:rsidRPr="007316FD">
        <w:rPr>
          <w:rFonts w:ascii="inter" w:hAnsi="inter"/>
          <w:sz w:val="32"/>
          <w:szCs w:val="32"/>
        </w:rPr>
        <w:fldChar w:fldCharType="end"/>
      </w:r>
      <w:bookmarkStart w:id="35" w:name="fnref20"/>
      <w:bookmarkEnd w:id="35"/>
      <w:r w:rsidRPr="007316FD">
        <w:rPr>
          <w:rFonts w:ascii="inter" w:hAnsi="inter"/>
          <w:sz w:val="32"/>
          <w:szCs w:val="32"/>
        </w:rPr>
        <w:fldChar w:fldCharType="begin"/>
      </w:r>
      <w:r w:rsidRPr="007316FD">
        <w:rPr>
          <w:rFonts w:ascii="inter" w:hAnsi="inter"/>
          <w:sz w:val="32"/>
          <w:szCs w:val="32"/>
        </w:rPr>
        <w:instrText>HYPERLINK \l "fn20"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[20]</w:t>
      </w:r>
      <w:r w:rsidRPr="007316FD">
        <w:rPr>
          <w:rFonts w:ascii="inter" w:hAnsi="inter"/>
          <w:sz w:val="32"/>
          <w:szCs w:val="32"/>
        </w:rPr>
        <w:fldChar w:fldCharType="end"/>
      </w:r>
      <w:r w:rsidRPr="007316FD">
        <w:rPr>
          <w:rFonts w:ascii="inter" w:eastAsia="inter" w:hAnsi="inter" w:cs="inter"/>
          <w:color w:val="000000"/>
          <w:sz w:val="32"/>
          <w:szCs w:val="32"/>
        </w:rPr>
        <w:t>.</w:t>
      </w:r>
    </w:p>
    <w:p w14:paraId="7AC624A9"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3. Action-Specific Optimization</w:t>
      </w:r>
    </w:p>
    <w:p w14:paraId="1E797204"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The superior performance of sell actions suggests that LLM agents should be </w:t>
      </w:r>
      <w:r w:rsidRPr="007316FD">
        <w:rPr>
          <w:rFonts w:ascii="inter" w:eastAsia="inter" w:hAnsi="inter" w:cs="inter"/>
          <w:b/>
          <w:color w:val="000000"/>
          <w:sz w:val="32"/>
          <w:szCs w:val="32"/>
        </w:rPr>
        <w:t>trained with emphasis on negative sentiment detection</w:t>
      </w:r>
      <w:r w:rsidRPr="007316FD">
        <w:rPr>
          <w:rFonts w:ascii="inter" w:eastAsia="inter" w:hAnsi="inter" w:cs="inter"/>
          <w:color w:val="000000"/>
          <w:sz w:val="32"/>
          <w:szCs w:val="32"/>
        </w:rPr>
        <w:t xml:space="preserve"> and downside risk identification. This could involve specialized </w:t>
      </w:r>
      <w:r w:rsidRPr="007316FD">
        <w:rPr>
          <w:rFonts w:ascii="inter" w:eastAsia="inter" w:hAnsi="inter" w:cs="inter"/>
          <w:color w:val="000000"/>
          <w:sz w:val="32"/>
          <w:szCs w:val="32"/>
        </w:rPr>
        <w:lastRenderedPageBreak/>
        <w:t>training datasets focused on market downturns and crisis scenarios</w:t>
      </w:r>
      <w:bookmarkStart w:id="36" w:name="fnref18:2"/>
      <w:bookmarkEnd w:id="36"/>
      <w:r w:rsidRPr="007316FD">
        <w:rPr>
          <w:rFonts w:ascii="inter" w:hAnsi="inter"/>
          <w:sz w:val="32"/>
          <w:szCs w:val="32"/>
        </w:rPr>
        <w:fldChar w:fldCharType="begin"/>
      </w:r>
      <w:r w:rsidRPr="007316FD">
        <w:rPr>
          <w:rFonts w:ascii="inter" w:hAnsi="inter"/>
          <w:sz w:val="32"/>
          <w:szCs w:val="32"/>
        </w:rPr>
        <w:instrText>HYPERLINK \l "fn18"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[18]</w:t>
      </w:r>
      <w:r w:rsidRPr="007316FD">
        <w:rPr>
          <w:rFonts w:ascii="inter" w:hAnsi="inter"/>
          <w:sz w:val="32"/>
          <w:szCs w:val="32"/>
        </w:rPr>
        <w:fldChar w:fldCharType="end"/>
      </w:r>
      <w:bookmarkStart w:id="37" w:name="fnref21"/>
      <w:bookmarkEnd w:id="37"/>
      <w:r w:rsidRPr="007316FD">
        <w:rPr>
          <w:rFonts w:ascii="inter" w:hAnsi="inter"/>
          <w:sz w:val="32"/>
          <w:szCs w:val="32"/>
        </w:rPr>
        <w:fldChar w:fldCharType="begin"/>
      </w:r>
      <w:r w:rsidRPr="007316FD">
        <w:rPr>
          <w:rFonts w:ascii="inter" w:hAnsi="inter"/>
          <w:sz w:val="32"/>
          <w:szCs w:val="32"/>
        </w:rPr>
        <w:instrText>HYPERLINK \l "fn21"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[21]</w:t>
      </w:r>
      <w:r w:rsidRPr="007316FD">
        <w:rPr>
          <w:rFonts w:ascii="inter" w:hAnsi="inter"/>
          <w:sz w:val="32"/>
          <w:szCs w:val="32"/>
        </w:rPr>
        <w:fldChar w:fldCharType="end"/>
      </w:r>
      <w:r w:rsidRPr="007316FD">
        <w:rPr>
          <w:rFonts w:ascii="inter" w:eastAsia="inter" w:hAnsi="inter" w:cs="inter"/>
          <w:color w:val="000000"/>
          <w:sz w:val="32"/>
          <w:szCs w:val="32"/>
        </w:rPr>
        <w:t>.</w:t>
      </w:r>
    </w:p>
    <w:p w14:paraId="3417B86E"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Future Research Directions</w:t>
      </w:r>
    </w:p>
    <w:p w14:paraId="0D0B178D"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1. Hybrid Architectures</w:t>
      </w:r>
    </w:p>
    <w:p w14:paraId="7D93298D"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Future research should explore </w:t>
      </w:r>
      <w:r w:rsidRPr="007316FD">
        <w:rPr>
          <w:rFonts w:ascii="inter" w:eastAsia="inter" w:hAnsi="inter" w:cs="inter"/>
          <w:b/>
          <w:color w:val="000000"/>
          <w:sz w:val="32"/>
          <w:szCs w:val="32"/>
        </w:rPr>
        <w:t>hybrid LLM-traditional model architectures</w:t>
      </w:r>
      <w:r w:rsidRPr="007316FD">
        <w:rPr>
          <w:rFonts w:ascii="inter" w:eastAsia="inter" w:hAnsi="inter" w:cs="inter"/>
          <w:color w:val="000000"/>
          <w:sz w:val="32"/>
          <w:szCs w:val="32"/>
        </w:rPr>
        <w:t xml:space="preserve"> that combine the natural language processing capabilities of LLMs with the statistical robustness of traditional financial models</w:t>
      </w:r>
      <w:bookmarkStart w:id="38" w:name="fnref18:3"/>
      <w:bookmarkEnd w:id="38"/>
      <w:r w:rsidRPr="007316FD">
        <w:rPr>
          <w:rFonts w:ascii="inter" w:hAnsi="inter"/>
          <w:sz w:val="32"/>
          <w:szCs w:val="32"/>
        </w:rPr>
        <w:fldChar w:fldCharType="begin"/>
      </w:r>
      <w:r w:rsidRPr="007316FD">
        <w:rPr>
          <w:rFonts w:ascii="inter" w:hAnsi="inter"/>
          <w:sz w:val="32"/>
          <w:szCs w:val="32"/>
        </w:rPr>
        <w:instrText>HYPERLINK \l "fn18"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[18]</w:t>
      </w:r>
      <w:r w:rsidRPr="007316FD">
        <w:rPr>
          <w:rFonts w:ascii="inter" w:hAnsi="inter"/>
          <w:sz w:val="32"/>
          <w:szCs w:val="32"/>
        </w:rPr>
        <w:fldChar w:fldCharType="end"/>
      </w:r>
      <w:bookmarkStart w:id="39" w:name="fnref19:1"/>
      <w:bookmarkEnd w:id="39"/>
      <w:r w:rsidRPr="007316FD">
        <w:rPr>
          <w:rFonts w:ascii="inter" w:hAnsi="inter"/>
          <w:sz w:val="32"/>
          <w:szCs w:val="32"/>
        </w:rPr>
        <w:fldChar w:fldCharType="begin"/>
      </w:r>
      <w:r w:rsidRPr="007316FD">
        <w:rPr>
          <w:rFonts w:ascii="inter" w:hAnsi="inter"/>
          <w:sz w:val="32"/>
          <w:szCs w:val="32"/>
        </w:rPr>
        <w:instrText>HYPERLINK \l "fn19"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[19]</w:t>
      </w:r>
      <w:r w:rsidRPr="007316FD">
        <w:rPr>
          <w:rFonts w:ascii="inter" w:hAnsi="inter"/>
          <w:sz w:val="32"/>
          <w:szCs w:val="32"/>
        </w:rPr>
        <w:fldChar w:fldCharType="end"/>
      </w:r>
      <w:r w:rsidRPr="007316FD">
        <w:rPr>
          <w:rFonts w:ascii="inter" w:eastAsia="inter" w:hAnsi="inter" w:cs="inter"/>
          <w:color w:val="000000"/>
          <w:sz w:val="32"/>
          <w:szCs w:val="32"/>
        </w:rPr>
        <w:t>.</w:t>
      </w:r>
    </w:p>
    <w:p w14:paraId="11AE024F"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2. Real-Time Adaptation</w:t>
      </w:r>
    </w:p>
    <w:p w14:paraId="5B9B3C62"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Developing </w:t>
      </w:r>
      <w:r w:rsidRPr="007316FD">
        <w:rPr>
          <w:rFonts w:ascii="inter" w:eastAsia="inter" w:hAnsi="inter" w:cs="inter"/>
          <w:b/>
          <w:color w:val="000000"/>
          <w:sz w:val="32"/>
          <w:szCs w:val="32"/>
        </w:rPr>
        <w:t>adaptive LLM systems</w:t>
      </w:r>
      <w:r w:rsidRPr="007316FD">
        <w:rPr>
          <w:rFonts w:ascii="inter" w:eastAsia="inter" w:hAnsi="inter" w:cs="inter"/>
          <w:color w:val="000000"/>
          <w:sz w:val="32"/>
          <w:szCs w:val="32"/>
        </w:rPr>
        <w:t xml:space="preserve"> that can adjust their parameters in real-time based on market conditions and performance feedback would address the temporal decay issues identified in this research</w:t>
      </w:r>
      <w:bookmarkStart w:id="40" w:name="fnref22"/>
      <w:bookmarkEnd w:id="40"/>
      <w:r w:rsidRPr="007316FD">
        <w:rPr>
          <w:rFonts w:ascii="inter" w:hAnsi="inter"/>
          <w:sz w:val="32"/>
          <w:szCs w:val="32"/>
        </w:rPr>
        <w:fldChar w:fldCharType="begin"/>
      </w:r>
      <w:r w:rsidRPr="007316FD">
        <w:rPr>
          <w:rFonts w:ascii="inter" w:hAnsi="inter"/>
          <w:sz w:val="32"/>
          <w:szCs w:val="32"/>
        </w:rPr>
        <w:instrText>HYPERLINK \l "fn22"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[22]</w:t>
      </w:r>
      <w:r w:rsidRPr="007316FD">
        <w:rPr>
          <w:rFonts w:ascii="inter" w:hAnsi="inter"/>
          <w:sz w:val="32"/>
          <w:szCs w:val="32"/>
        </w:rPr>
        <w:fldChar w:fldCharType="end"/>
      </w:r>
      <w:bookmarkStart w:id="41" w:name="fnref23"/>
      <w:bookmarkEnd w:id="41"/>
      <w:r w:rsidRPr="007316FD">
        <w:rPr>
          <w:rFonts w:ascii="inter" w:hAnsi="inter"/>
          <w:sz w:val="32"/>
          <w:szCs w:val="32"/>
        </w:rPr>
        <w:fldChar w:fldCharType="begin"/>
      </w:r>
      <w:r w:rsidRPr="007316FD">
        <w:rPr>
          <w:rFonts w:ascii="inter" w:hAnsi="inter"/>
          <w:sz w:val="32"/>
          <w:szCs w:val="32"/>
        </w:rPr>
        <w:instrText>HYPERLINK \l "fn23"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[23]</w:t>
      </w:r>
      <w:r w:rsidRPr="007316FD">
        <w:rPr>
          <w:rFonts w:ascii="inter" w:hAnsi="inter"/>
          <w:sz w:val="32"/>
          <w:szCs w:val="32"/>
        </w:rPr>
        <w:fldChar w:fldCharType="end"/>
      </w:r>
      <w:r w:rsidRPr="007316FD">
        <w:rPr>
          <w:rFonts w:ascii="inter" w:eastAsia="inter" w:hAnsi="inter" w:cs="inter"/>
          <w:color w:val="000000"/>
          <w:sz w:val="32"/>
          <w:szCs w:val="32"/>
        </w:rPr>
        <w:t>.</w:t>
      </w:r>
    </w:p>
    <w:p w14:paraId="6D685178"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3. Uncertainty Quantification</w:t>
      </w:r>
    </w:p>
    <w:p w14:paraId="560A4893"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Incorporating </w:t>
      </w:r>
      <w:r w:rsidRPr="007316FD">
        <w:rPr>
          <w:rFonts w:ascii="inter" w:eastAsia="inter" w:hAnsi="inter" w:cs="inter"/>
          <w:b/>
          <w:color w:val="000000"/>
          <w:sz w:val="32"/>
          <w:szCs w:val="32"/>
        </w:rPr>
        <w:t>uncertainty quantification methods</w:t>
      </w:r>
      <w:r w:rsidRPr="007316FD">
        <w:rPr>
          <w:rFonts w:ascii="inter" w:eastAsia="inter" w:hAnsi="inter" w:cs="inter"/>
          <w:color w:val="000000"/>
          <w:sz w:val="32"/>
          <w:szCs w:val="32"/>
        </w:rPr>
        <w:t xml:space="preserve"> into LLM predictions would provide confidence intervals and risk metrics, enabling more informed decision-making</w:t>
      </w:r>
      <w:bookmarkStart w:id="42" w:name="fnref22:1"/>
      <w:bookmarkEnd w:id="42"/>
      <w:r w:rsidRPr="007316FD">
        <w:rPr>
          <w:rFonts w:ascii="inter" w:hAnsi="inter"/>
          <w:sz w:val="32"/>
          <w:szCs w:val="32"/>
        </w:rPr>
        <w:fldChar w:fldCharType="begin"/>
      </w:r>
      <w:r w:rsidRPr="007316FD">
        <w:rPr>
          <w:rFonts w:ascii="inter" w:hAnsi="inter"/>
          <w:sz w:val="32"/>
          <w:szCs w:val="32"/>
        </w:rPr>
        <w:instrText>HYPERLINK \l "fn22"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[22]</w:t>
      </w:r>
      <w:r w:rsidRPr="007316FD">
        <w:rPr>
          <w:rFonts w:ascii="inter" w:hAnsi="inter"/>
          <w:sz w:val="32"/>
          <w:szCs w:val="32"/>
        </w:rPr>
        <w:fldChar w:fldCharType="end"/>
      </w:r>
      <w:bookmarkStart w:id="43" w:name="fnref23:1"/>
      <w:bookmarkEnd w:id="43"/>
      <w:r w:rsidRPr="007316FD">
        <w:rPr>
          <w:rFonts w:ascii="inter" w:hAnsi="inter"/>
          <w:sz w:val="32"/>
          <w:szCs w:val="32"/>
        </w:rPr>
        <w:fldChar w:fldCharType="begin"/>
      </w:r>
      <w:r w:rsidRPr="007316FD">
        <w:rPr>
          <w:rFonts w:ascii="inter" w:hAnsi="inter"/>
          <w:sz w:val="32"/>
          <w:szCs w:val="32"/>
        </w:rPr>
        <w:instrText>HYPERLINK \l "fn23"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[23]</w:t>
      </w:r>
      <w:r w:rsidRPr="007316FD">
        <w:rPr>
          <w:rFonts w:ascii="inter" w:hAnsi="inter"/>
          <w:sz w:val="32"/>
          <w:szCs w:val="32"/>
        </w:rPr>
        <w:fldChar w:fldCharType="end"/>
      </w:r>
      <w:r w:rsidRPr="007316FD">
        <w:rPr>
          <w:rFonts w:ascii="inter" w:eastAsia="inter" w:hAnsi="inter" w:cs="inter"/>
          <w:color w:val="000000"/>
          <w:sz w:val="32"/>
          <w:szCs w:val="32"/>
        </w:rPr>
        <w:t>.</w:t>
      </w:r>
    </w:p>
    <w:p w14:paraId="638F2377"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Practical Applications</w:t>
      </w:r>
    </w:p>
    <w:p w14:paraId="055073EF"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 xml:space="preserve">The research findings have immediate implications for </w:t>
      </w:r>
      <w:r w:rsidRPr="007316FD">
        <w:rPr>
          <w:rFonts w:ascii="inter" w:eastAsia="inter" w:hAnsi="inter" w:cs="inter"/>
          <w:b/>
          <w:color w:val="000000"/>
          <w:sz w:val="32"/>
          <w:szCs w:val="32"/>
        </w:rPr>
        <w:t>algorithmic trading system design</w:t>
      </w:r>
      <w:r w:rsidRPr="007316FD">
        <w:rPr>
          <w:rFonts w:ascii="inter" w:eastAsia="inter" w:hAnsi="inter" w:cs="inter"/>
          <w:color w:val="000000"/>
          <w:sz w:val="32"/>
          <w:szCs w:val="32"/>
        </w:rPr>
        <w:t xml:space="preserve">, </w:t>
      </w:r>
      <w:r w:rsidRPr="007316FD">
        <w:rPr>
          <w:rFonts w:ascii="inter" w:eastAsia="inter" w:hAnsi="inter" w:cs="inter"/>
          <w:b/>
          <w:color w:val="000000"/>
          <w:sz w:val="32"/>
          <w:szCs w:val="32"/>
        </w:rPr>
        <w:t>risk management protocols</w:t>
      </w:r>
      <w:r w:rsidRPr="007316FD">
        <w:rPr>
          <w:rFonts w:ascii="inter" w:eastAsia="inter" w:hAnsi="inter" w:cs="inter"/>
          <w:color w:val="000000"/>
          <w:sz w:val="32"/>
          <w:szCs w:val="32"/>
        </w:rPr>
        <w:t xml:space="preserve">, and </w:t>
      </w:r>
      <w:r w:rsidRPr="007316FD">
        <w:rPr>
          <w:rFonts w:ascii="inter" w:eastAsia="inter" w:hAnsi="inter" w:cs="inter"/>
          <w:b/>
          <w:color w:val="000000"/>
          <w:sz w:val="32"/>
          <w:szCs w:val="32"/>
        </w:rPr>
        <w:t xml:space="preserve">portfolio </w:t>
      </w:r>
      <w:r w:rsidRPr="007316FD">
        <w:rPr>
          <w:rFonts w:ascii="inter" w:eastAsia="inter" w:hAnsi="inter" w:cs="inter"/>
          <w:b/>
          <w:color w:val="000000"/>
          <w:sz w:val="32"/>
          <w:szCs w:val="32"/>
        </w:rPr>
        <w:lastRenderedPageBreak/>
        <w:t>optimization strategies</w:t>
      </w:r>
      <w:r w:rsidRPr="007316FD">
        <w:rPr>
          <w:rFonts w:ascii="inter" w:eastAsia="inter" w:hAnsi="inter" w:cs="inter"/>
          <w:color w:val="000000"/>
          <w:sz w:val="32"/>
          <w:szCs w:val="32"/>
        </w:rPr>
        <w:t xml:space="preserve">. The strong performance of sell actions suggests that LLM agents may be particularly valuable for </w:t>
      </w:r>
      <w:r w:rsidRPr="007316FD">
        <w:rPr>
          <w:rFonts w:ascii="inter" w:eastAsia="inter" w:hAnsi="inter" w:cs="inter"/>
          <w:b/>
          <w:color w:val="000000"/>
          <w:sz w:val="32"/>
          <w:szCs w:val="32"/>
        </w:rPr>
        <w:t>downside protection</w:t>
      </w:r>
      <w:r w:rsidRPr="007316FD">
        <w:rPr>
          <w:rFonts w:ascii="inter" w:eastAsia="inter" w:hAnsi="inter" w:cs="inter"/>
          <w:color w:val="000000"/>
          <w:sz w:val="32"/>
          <w:szCs w:val="32"/>
        </w:rPr>
        <w:t xml:space="preserve"> and </w:t>
      </w:r>
      <w:r w:rsidRPr="007316FD">
        <w:rPr>
          <w:rFonts w:ascii="inter" w:eastAsia="inter" w:hAnsi="inter" w:cs="inter"/>
          <w:b/>
          <w:color w:val="000000"/>
          <w:sz w:val="32"/>
          <w:szCs w:val="32"/>
        </w:rPr>
        <w:t>risk mitigation</w:t>
      </w:r>
      <w:r w:rsidRPr="007316FD">
        <w:rPr>
          <w:rFonts w:ascii="inter" w:eastAsia="inter" w:hAnsi="inter" w:cs="inter"/>
          <w:color w:val="000000"/>
          <w:sz w:val="32"/>
          <w:szCs w:val="32"/>
        </w:rPr>
        <w:t xml:space="preserve"> rather than return generation</w:t>
      </w:r>
      <w:bookmarkStart w:id="44" w:name="fnref18:4"/>
      <w:bookmarkEnd w:id="44"/>
      <w:r w:rsidRPr="007316FD">
        <w:rPr>
          <w:rFonts w:ascii="inter" w:hAnsi="inter"/>
          <w:sz w:val="32"/>
          <w:szCs w:val="32"/>
        </w:rPr>
        <w:fldChar w:fldCharType="begin"/>
      </w:r>
      <w:r w:rsidRPr="007316FD">
        <w:rPr>
          <w:rFonts w:ascii="inter" w:hAnsi="inter"/>
          <w:sz w:val="32"/>
          <w:szCs w:val="32"/>
        </w:rPr>
        <w:instrText>HYPERLINK \l "fn18"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[18]</w:t>
      </w:r>
      <w:r w:rsidRPr="007316FD">
        <w:rPr>
          <w:rFonts w:ascii="inter" w:hAnsi="inter"/>
          <w:sz w:val="32"/>
          <w:szCs w:val="32"/>
        </w:rPr>
        <w:fldChar w:fldCharType="end"/>
      </w:r>
      <w:bookmarkStart w:id="45" w:name="fnref24"/>
      <w:bookmarkEnd w:id="45"/>
      <w:r w:rsidRPr="007316FD">
        <w:rPr>
          <w:rFonts w:ascii="inter" w:hAnsi="inter"/>
          <w:sz w:val="32"/>
          <w:szCs w:val="32"/>
        </w:rPr>
        <w:fldChar w:fldCharType="begin"/>
      </w:r>
      <w:r w:rsidRPr="007316FD">
        <w:rPr>
          <w:rFonts w:ascii="inter" w:hAnsi="inter"/>
          <w:sz w:val="32"/>
          <w:szCs w:val="32"/>
        </w:rPr>
        <w:instrText>HYPERLINK \l "fn24"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[24]</w:t>
      </w:r>
      <w:r w:rsidRPr="007316FD">
        <w:rPr>
          <w:rFonts w:ascii="inter" w:hAnsi="inter"/>
          <w:sz w:val="32"/>
          <w:szCs w:val="32"/>
        </w:rPr>
        <w:fldChar w:fldCharType="end"/>
      </w:r>
      <w:r w:rsidRPr="007316FD">
        <w:rPr>
          <w:rFonts w:ascii="inter" w:eastAsia="inter" w:hAnsi="inter" w:cs="inter"/>
          <w:color w:val="000000"/>
          <w:sz w:val="32"/>
          <w:szCs w:val="32"/>
        </w:rPr>
        <w:t>.</w:t>
      </w:r>
    </w:p>
    <w:p w14:paraId="7A7C5A48" w14:textId="77777777"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Limitations and Risk Considerations</w:t>
      </w:r>
    </w:p>
    <w:p w14:paraId="0FA080C8" w14:textId="77777777" w:rsidR="00FE27C3" w:rsidRDefault="00436E69">
      <w:pPr>
        <w:spacing w:after="210" w:line="360" w:lineRule="auto"/>
        <w:rPr>
          <w:rFonts w:ascii="inter" w:eastAsia="inter" w:hAnsi="inter" w:cs="inter"/>
          <w:color w:val="000000"/>
          <w:sz w:val="32"/>
          <w:szCs w:val="32"/>
        </w:rPr>
      </w:pPr>
      <w:r w:rsidRPr="007316FD">
        <w:rPr>
          <w:rFonts w:ascii="inter" w:eastAsia="inter" w:hAnsi="inter" w:cs="inter"/>
          <w:color w:val="000000"/>
          <w:sz w:val="32"/>
          <w:szCs w:val="32"/>
        </w:rPr>
        <w:t xml:space="preserve">The research highlights several critical limitations, including </w:t>
      </w:r>
      <w:r w:rsidRPr="007316FD">
        <w:rPr>
          <w:rFonts w:ascii="inter" w:eastAsia="inter" w:hAnsi="inter" w:cs="inter"/>
          <w:b/>
          <w:color w:val="000000"/>
          <w:sz w:val="32"/>
          <w:szCs w:val="32"/>
        </w:rPr>
        <w:t>model uncertainty in volatile markets</w:t>
      </w:r>
      <w:r w:rsidRPr="007316FD">
        <w:rPr>
          <w:rFonts w:ascii="inter" w:eastAsia="inter" w:hAnsi="inter" w:cs="inter"/>
          <w:color w:val="000000"/>
          <w:sz w:val="32"/>
          <w:szCs w:val="32"/>
        </w:rPr>
        <w:t xml:space="preserve">, </w:t>
      </w:r>
      <w:r w:rsidRPr="007316FD">
        <w:rPr>
          <w:rFonts w:ascii="inter" w:eastAsia="inter" w:hAnsi="inter" w:cs="inter"/>
          <w:b/>
          <w:color w:val="000000"/>
          <w:sz w:val="32"/>
          <w:szCs w:val="32"/>
        </w:rPr>
        <w:t>overfitting risks</w:t>
      </w:r>
      <w:r w:rsidRPr="007316FD">
        <w:rPr>
          <w:rFonts w:ascii="inter" w:eastAsia="inter" w:hAnsi="inter" w:cs="inter"/>
          <w:color w:val="000000"/>
          <w:sz w:val="32"/>
          <w:szCs w:val="32"/>
        </w:rPr>
        <w:t xml:space="preserve">, and </w:t>
      </w:r>
      <w:r w:rsidRPr="007316FD">
        <w:rPr>
          <w:rFonts w:ascii="inter" w:eastAsia="inter" w:hAnsi="inter" w:cs="inter"/>
          <w:b/>
          <w:color w:val="000000"/>
          <w:sz w:val="32"/>
          <w:szCs w:val="32"/>
        </w:rPr>
        <w:t>systemic vulnerabilities</w:t>
      </w:r>
      <w:r w:rsidRPr="007316FD">
        <w:rPr>
          <w:rFonts w:ascii="inter" w:eastAsia="inter" w:hAnsi="inter" w:cs="inter"/>
          <w:color w:val="000000"/>
          <w:sz w:val="32"/>
          <w:szCs w:val="32"/>
        </w:rPr>
        <w:t xml:space="preserve"> during market stress periods. These factors must be carefully considered in practical implementations</w:t>
      </w:r>
      <w:bookmarkStart w:id="46" w:name="fnref25"/>
      <w:bookmarkEnd w:id="46"/>
      <w:r w:rsidRPr="007316FD">
        <w:rPr>
          <w:rFonts w:ascii="inter" w:hAnsi="inter"/>
          <w:sz w:val="32"/>
          <w:szCs w:val="32"/>
        </w:rPr>
        <w:fldChar w:fldCharType="begin"/>
      </w:r>
      <w:r w:rsidRPr="007316FD">
        <w:rPr>
          <w:rFonts w:ascii="inter" w:hAnsi="inter"/>
          <w:sz w:val="32"/>
          <w:szCs w:val="32"/>
        </w:rPr>
        <w:instrText>HYPERLINK \l "fn25"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[25]</w:t>
      </w:r>
      <w:r w:rsidRPr="007316FD">
        <w:rPr>
          <w:rFonts w:ascii="inter" w:hAnsi="inter"/>
          <w:sz w:val="32"/>
          <w:szCs w:val="32"/>
        </w:rPr>
        <w:fldChar w:fldCharType="end"/>
      </w:r>
      <w:bookmarkStart w:id="47" w:name="fnref24:1"/>
      <w:bookmarkEnd w:id="47"/>
      <w:r w:rsidRPr="007316FD">
        <w:rPr>
          <w:rFonts w:ascii="inter" w:hAnsi="inter"/>
          <w:sz w:val="32"/>
          <w:szCs w:val="32"/>
        </w:rPr>
        <w:fldChar w:fldCharType="begin"/>
      </w:r>
      <w:r w:rsidRPr="007316FD">
        <w:rPr>
          <w:rFonts w:ascii="inter" w:hAnsi="inter"/>
          <w:sz w:val="32"/>
          <w:szCs w:val="32"/>
        </w:rPr>
        <w:instrText>HYPERLINK \l "fn24"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[24]</w:t>
      </w:r>
      <w:r w:rsidRPr="007316FD">
        <w:rPr>
          <w:rFonts w:ascii="inter" w:hAnsi="inter"/>
          <w:sz w:val="32"/>
          <w:szCs w:val="32"/>
        </w:rPr>
        <w:fldChar w:fldCharType="end"/>
      </w:r>
      <w:bookmarkStart w:id="48" w:name="fnref26"/>
      <w:bookmarkEnd w:id="48"/>
      <w:r w:rsidRPr="007316FD">
        <w:rPr>
          <w:rFonts w:ascii="inter" w:hAnsi="inter"/>
          <w:sz w:val="32"/>
          <w:szCs w:val="32"/>
        </w:rPr>
        <w:fldChar w:fldCharType="begin"/>
      </w:r>
      <w:r w:rsidRPr="007316FD">
        <w:rPr>
          <w:rFonts w:ascii="inter" w:hAnsi="inter"/>
          <w:sz w:val="32"/>
          <w:szCs w:val="32"/>
        </w:rPr>
        <w:instrText>HYPERLINK \l "fn26"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vertAlign w:val="superscript"/>
        </w:rPr>
        <w:t>[26]</w:t>
      </w:r>
      <w:r w:rsidRPr="007316FD">
        <w:rPr>
          <w:rFonts w:ascii="inter" w:hAnsi="inter"/>
          <w:sz w:val="32"/>
          <w:szCs w:val="32"/>
        </w:rPr>
        <w:fldChar w:fldCharType="end"/>
      </w:r>
      <w:r w:rsidRPr="007316FD">
        <w:rPr>
          <w:rFonts w:ascii="inter" w:eastAsia="inter" w:hAnsi="inter" w:cs="inter"/>
          <w:color w:val="000000"/>
          <w:sz w:val="32"/>
          <w:szCs w:val="32"/>
        </w:rPr>
        <w:t>.</w:t>
      </w:r>
    </w:p>
    <w:p w14:paraId="4C66D349" w14:textId="77777777" w:rsidR="00B9668A" w:rsidRDefault="00B9668A" w:rsidP="00B9668A">
      <w:pPr>
        <w:spacing w:after="210" w:line="360" w:lineRule="auto"/>
        <w:rPr>
          <w:rFonts w:ascii="inter" w:hAnsi="inter"/>
          <w:sz w:val="32"/>
          <w:szCs w:val="32"/>
        </w:rPr>
      </w:pPr>
    </w:p>
    <w:p w14:paraId="45CFDF3D" w14:textId="2CFEF76D" w:rsidR="00B9668A" w:rsidRPr="00B9668A" w:rsidRDefault="00B9668A" w:rsidP="00B9668A">
      <w:pPr>
        <w:spacing w:after="210" w:line="360" w:lineRule="auto"/>
        <w:rPr>
          <w:rFonts w:ascii="inter" w:hAnsi="inter"/>
          <w:sz w:val="32"/>
          <w:szCs w:val="32"/>
        </w:rPr>
      </w:pPr>
      <w:proofErr w:type="gramStart"/>
      <w:r w:rsidRPr="00B9668A">
        <w:rPr>
          <w:rFonts w:ascii="inter" w:hAnsi="inter"/>
          <w:sz w:val="32"/>
          <w:szCs w:val="32"/>
        </w:rPr>
        <w:t>https://link.springer.com/article/10.1007/s10614-025-11024-w#:~:text=650,news%20than%20positive%20news%20and  (</w:t>
      </w:r>
      <w:proofErr w:type="gramEnd"/>
      <w:r w:rsidRPr="00B9668A">
        <w:rPr>
          <w:rFonts w:ascii="inter" w:hAnsi="inter"/>
          <w:sz w:val="32"/>
          <w:szCs w:val="32"/>
        </w:rPr>
        <w:t>June 2025)</w:t>
      </w:r>
    </w:p>
    <w:p w14:paraId="52B3FD40" w14:textId="77777777" w:rsidR="00B9668A" w:rsidRPr="003B715F" w:rsidRDefault="00B9668A" w:rsidP="00B9668A">
      <w:pPr>
        <w:spacing w:after="210" w:line="360" w:lineRule="auto"/>
        <w:rPr>
          <w:rFonts w:ascii="inter" w:hAnsi="inter"/>
          <w:sz w:val="32"/>
          <w:szCs w:val="32"/>
        </w:rPr>
      </w:pPr>
      <w:r w:rsidRPr="003B715F">
        <w:rPr>
          <w:rFonts w:ascii="inter" w:hAnsi="inter"/>
          <w:sz w:val="32"/>
          <w:szCs w:val="32"/>
        </w:rPr>
        <w:t>Paper on Stock Market Forecasting: From Traditional Predictive</w:t>
      </w:r>
    </w:p>
    <w:p w14:paraId="5E077523" w14:textId="77777777" w:rsidR="00B9668A" w:rsidRPr="003B715F" w:rsidRDefault="00B9668A" w:rsidP="00B9668A">
      <w:pPr>
        <w:spacing w:after="210" w:line="360" w:lineRule="auto"/>
        <w:rPr>
          <w:rFonts w:ascii="inter" w:hAnsi="inter"/>
          <w:sz w:val="32"/>
          <w:szCs w:val="32"/>
        </w:rPr>
      </w:pPr>
      <w:r w:rsidRPr="003B715F">
        <w:rPr>
          <w:rFonts w:ascii="inter" w:hAnsi="inter"/>
          <w:sz w:val="32"/>
          <w:szCs w:val="32"/>
        </w:rPr>
        <w:t>Models to Large Language Models</w:t>
      </w:r>
    </w:p>
    <w:p w14:paraId="5F25A757" w14:textId="77777777" w:rsidR="00B9668A" w:rsidRPr="003B715F" w:rsidRDefault="00B9668A" w:rsidP="00B9668A">
      <w:pPr>
        <w:spacing w:after="210" w:line="360" w:lineRule="auto"/>
        <w:rPr>
          <w:rFonts w:ascii="inter" w:hAnsi="inter"/>
          <w:sz w:val="32"/>
          <w:szCs w:val="32"/>
        </w:rPr>
      </w:pPr>
    </w:p>
    <w:p w14:paraId="42919676" w14:textId="77777777" w:rsidR="00B9668A" w:rsidRPr="003B715F" w:rsidRDefault="00B9668A" w:rsidP="00B9668A">
      <w:pPr>
        <w:spacing w:after="210" w:line="360" w:lineRule="auto"/>
        <w:rPr>
          <w:rFonts w:ascii="inter" w:hAnsi="inter"/>
          <w:sz w:val="32"/>
          <w:szCs w:val="32"/>
        </w:rPr>
      </w:pPr>
      <w:r w:rsidRPr="003B715F">
        <w:rPr>
          <w:rFonts w:ascii="inter" w:hAnsi="inter"/>
          <w:sz w:val="32"/>
          <w:szCs w:val="32"/>
        </w:rPr>
        <w:t xml:space="preserve">Gap: The paper has covered many things but mostly the comparison between the traditional ML, DL, CNN, LSTM Models with LLM Models, </w:t>
      </w:r>
    </w:p>
    <w:p w14:paraId="66460F3F" w14:textId="77777777" w:rsidR="00B9668A" w:rsidRPr="003B715F" w:rsidRDefault="00B9668A" w:rsidP="00B9668A">
      <w:pPr>
        <w:spacing w:after="210" w:line="360" w:lineRule="auto"/>
        <w:rPr>
          <w:rFonts w:ascii="inter" w:hAnsi="inter"/>
          <w:sz w:val="32"/>
          <w:szCs w:val="32"/>
        </w:rPr>
      </w:pPr>
      <w:r w:rsidRPr="003B715F">
        <w:rPr>
          <w:rFonts w:ascii="inter" w:hAnsi="inter"/>
          <w:sz w:val="32"/>
          <w:szCs w:val="32"/>
        </w:rPr>
        <w:t xml:space="preserve">Forecasting research treats the market movement prediction holistically and does not analyze “Buy vs. Sell vs. Hold” recommendations separately. (Behavioral finance suggests selling on </w:t>
      </w:r>
      <w:r w:rsidRPr="003B715F">
        <w:rPr>
          <w:rFonts w:ascii="inter" w:hAnsi="inter"/>
          <w:sz w:val="32"/>
          <w:szCs w:val="32"/>
        </w:rPr>
        <w:lastRenderedPageBreak/>
        <w:t>negative news can be more profitable, but this asymmetry has rarely been validated in predictive models.)</w:t>
      </w:r>
    </w:p>
    <w:p w14:paraId="28C3D0AF" w14:textId="77777777" w:rsidR="00B9668A" w:rsidRPr="003B715F" w:rsidRDefault="00B9668A" w:rsidP="00B9668A">
      <w:pPr>
        <w:spacing w:after="210" w:line="360" w:lineRule="auto"/>
        <w:rPr>
          <w:rFonts w:ascii="inter" w:hAnsi="inter"/>
          <w:sz w:val="32"/>
          <w:szCs w:val="32"/>
        </w:rPr>
      </w:pPr>
    </w:p>
    <w:p w14:paraId="7B299985" w14:textId="77777777" w:rsidR="00B9668A" w:rsidRPr="003B715F" w:rsidRDefault="00B9668A" w:rsidP="00B9668A">
      <w:pPr>
        <w:spacing w:after="210" w:line="360" w:lineRule="auto"/>
        <w:rPr>
          <w:rFonts w:ascii="inter" w:hAnsi="inter"/>
          <w:sz w:val="32"/>
          <w:szCs w:val="32"/>
        </w:rPr>
      </w:pPr>
      <w:r w:rsidRPr="003B715F">
        <w:rPr>
          <w:rFonts w:ascii="inter" w:hAnsi="inter"/>
          <w:sz w:val="32"/>
          <w:szCs w:val="32"/>
        </w:rPr>
        <w:t>While our paper explicitly breaks down performance by action type. It finds Sell recommendations are vastly more reliable (≈90.9% profitable) than Buy (31.5%) or Hold (22.4%). This mirrors known “negativity bias” results (e.g. ChatGPT strategies with negative news outsold positive ones) and exposes that the LLM agent’s predictions are asymmetric. Thus, unlike previous work, this paper measures profitability and error rates for each action category, revealing and explaining the large disparities.</w:t>
      </w:r>
    </w:p>
    <w:p w14:paraId="05F37C41" w14:textId="77777777" w:rsidR="00B9668A" w:rsidRPr="003B715F" w:rsidRDefault="00B9668A" w:rsidP="00B9668A">
      <w:pPr>
        <w:spacing w:after="210" w:line="360" w:lineRule="auto"/>
        <w:rPr>
          <w:rFonts w:ascii="inter" w:hAnsi="inter"/>
          <w:sz w:val="32"/>
          <w:szCs w:val="32"/>
        </w:rPr>
      </w:pPr>
    </w:p>
    <w:p w14:paraId="68F283AE" w14:textId="77777777" w:rsidR="00B9668A" w:rsidRPr="003B715F" w:rsidRDefault="00B9668A" w:rsidP="00B9668A">
      <w:pPr>
        <w:spacing w:after="210" w:line="360" w:lineRule="auto"/>
        <w:rPr>
          <w:rFonts w:ascii="inter" w:hAnsi="inter"/>
          <w:sz w:val="32"/>
          <w:szCs w:val="32"/>
        </w:rPr>
      </w:pPr>
    </w:p>
    <w:p w14:paraId="71F0254F" w14:textId="53E5A6E4" w:rsidR="00B9668A" w:rsidRPr="003B715F" w:rsidRDefault="00B9668A" w:rsidP="00B9668A">
      <w:pPr>
        <w:spacing w:after="210" w:line="360" w:lineRule="auto"/>
        <w:rPr>
          <w:rFonts w:ascii="inter" w:hAnsi="inter"/>
          <w:sz w:val="32"/>
          <w:szCs w:val="32"/>
        </w:rPr>
      </w:pPr>
      <w:r w:rsidRPr="003B715F">
        <w:rPr>
          <w:rFonts w:ascii="inter" w:hAnsi="inter"/>
          <w:sz w:val="32"/>
          <w:szCs w:val="32"/>
        </w:rPr>
        <w:t xml:space="preserve">More Improvements that can be done, </w:t>
      </w:r>
    </w:p>
    <w:p w14:paraId="24D436E5" w14:textId="77777777" w:rsidR="00B9668A" w:rsidRPr="00B9668A" w:rsidRDefault="00B9668A" w:rsidP="00B9668A">
      <w:pPr>
        <w:pStyle w:val="ListParagraph"/>
        <w:numPr>
          <w:ilvl w:val="0"/>
          <w:numId w:val="3"/>
        </w:numPr>
        <w:spacing w:after="210" w:line="360" w:lineRule="auto"/>
        <w:rPr>
          <w:rFonts w:ascii="inter" w:hAnsi="inter"/>
          <w:sz w:val="32"/>
          <w:szCs w:val="32"/>
        </w:rPr>
      </w:pPr>
      <w:r w:rsidRPr="00B9668A">
        <w:rPr>
          <w:rFonts w:ascii="inter" w:hAnsi="inter"/>
          <w:sz w:val="32"/>
          <w:szCs w:val="32"/>
        </w:rPr>
        <w:t>using FinBert for as a financially finetuned NLP model for news and economic analysis.</w:t>
      </w:r>
    </w:p>
    <w:p w14:paraId="7C4AB7F2" w14:textId="77777777" w:rsidR="00B9668A" w:rsidRPr="00B9668A" w:rsidRDefault="00B9668A" w:rsidP="00B9668A">
      <w:pPr>
        <w:pStyle w:val="ListParagraph"/>
        <w:numPr>
          <w:ilvl w:val="0"/>
          <w:numId w:val="3"/>
        </w:numPr>
        <w:spacing w:after="210" w:line="360" w:lineRule="auto"/>
        <w:rPr>
          <w:rFonts w:ascii="inter" w:hAnsi="inter"/>
          <w:sz w:val="32"/>
          <w:szCs w:val="32"/>
        </w:rPr>
      </w:pPr>
      <w:r w:rsidRPr="00B9668A">
        <w:rPr>
          <w:rFonts w:ascii="inter" w:hAnsi="inter"/>
          <w:sz w:val="32"/>
          <w:szCs w:val="32"/>
        </w:rPr>
        <w:t xml:space="preserve">using Social Media sentiments too (Twitter/ </w:t>
      </w:r>
      <w:proofErr w:type="gramStart"/>
      <w:r w:rsidRPr="00B9668A">
        <w:rPr>
          <w:rFonts w:ascii="inter" w:hAnsi="inter"/>
          <w:sz w:val="32"/>
          <w:szCs w:val="32"/>
        </w:rPr>
        <w:t>X )</w:t>
      </w:r>
      <w:proofErr w:type="gramEnd"/>
    </w:p>
    <w:p w14:paraId="597FA710" w14:textId="77777777" w:rsidR="00B9668A" w:rsidRPr="00B9668A" w:rsidRDefault="00B9668A" w:rsidP="00B9668A">
      <w:pPr>
        <w:pStyle w:val="ListParagraph"/>
        <w:numPr>
          <w:ilvl w:val="0"/>
          <w:numId w:val="3"/>
        </w:numPr>
        <w:spacing w:after="210" w:line="360" w:lineRule="auto"/>
        <w:rPr>
          <w:rFonts w:ascii="inter" w:hAnsi="inter"/>
          <w:sz w:val="32"/>
          <w:szCs w:val="32"/>
        </w:rPr>
      </w:pPr>
      <w:r w:rsidRPr="00B9668A">
        <w:rPr>
          <w:rFonts w:ascii="inter" w:hAnsi="inter"/>
          <w:sz w:val="32"/>
          <w:szCs w:val="32"/>
        </w:rPr>
        <w:t xml:space="preserve">Simulating people with different portfolios to found cumulative returns as </w:t>
      </w:r>
      <w:proofErr w:type="spellStart"/>
      <w:proofErr w:type="gramStart"/>
      <w:r w:rsidRPr="00B9668A">
        <w:rPr>
          <w:rFonts w:ascii="inter" w:hAnsi="inter"/>
          <w:sz w:val="32"/>
          <w:szCs w:val="32"/>
        </w:rPr>
        <w:t>a</w:t>
      </w:r>
      <w:proofErr w:type="spellEnd"/>
      <w:proofErr w:type="gramEnd"/>
      <w:r w:rsidRPr="00B9668A">
        <w:rPr>
          <w:rFonts w:ascii="inter" w:hAnsi="inter"/>
          <w:sz w:val="32"/>
          <w:szCs w:val="32"/>
        </w:rPr>
        <w:t xml:space="preserve"> Intraday or Longterm Investors.</w:t>
      </w:r>
    </w:p>
    <w:p w14:paraId="1138FD3D" w14:textId="77777777" w:rsidR="00B9668A" w:rsidRPr="00B9668A" w:rsidRDefault="00B9668A" w:rsidP="00B9668A">
      <w:pPr>
        <w:pStyle w:val="ListParagraph"/>
        <w:numPr>
          <w:ilvl w:val="0"/>
          <w:numId w:val="3"/>
        </w:numPr>
        <w:spacing w:after="210" w:line="360" w:lineRule="auto"/>
        <w:rPr>
          <w:rFonts w:ascii="inter" w:hAnsi="inter"/>
          <w:sz w:val="32"/>
          <w:szCs w:val="32"/>
        </w:rPr>
      </w:pPr>
      <w:r w:rsidRPr="00B9668A">
        <w:rPr>
          <w:rFonts w:ascii="inter" w:hAnsi="inter"/>
          <w:sz w:val="32"/>
          <w:szCs w:val="32"/>
        </w:rPr>
        <w:lastRenderedPageBreak/>
        <w:t>From the sector results additional parameters for respective sectors could be incorporated and Correlation of stocks with other stocks.</w:t>
      </w:r>
    </w:p>
    <w:p w14:paraId="339DBFB2" w14:textId="77777777" w:rsidR="00B9668A" w:rsidRDefault="00B9668A">
      <w:pPr>
        <w:spacing w:before="315" w:after="105" w:line="360" w:lineRule="auto"/>
        <w:ind w:left="-30"/>
        <w:rPr>
          <w:rFonts w:ascii="inter" w:eastAsia="inter" w:hAnsi="inter" w:cs="inter"/>
          <w:b/>
          <w:color w:val="000000"/>
          <w:sz w:val="32"/>
          <w:szCs w:val="32"/>
        </w:rPr>
      </w:pPr>
    </w:p>
    <w:p w14:paraId="1B793F9E" w14:textId="46FEAF74" w:rsidR="00FE27C3" w:rsidRPr="007316FD" w:rsidRDefault="00436E69">
      <w:pPr>
        <w:spacing w:before="315" w:after="105" w:line="360" w:lineRule="auto"/>
        <w:ind w:left="-30"/>
        <w:rPr>
          <w:rFonts w:ascii="inter" w:hAnsi="inter"/>
          <w:sz w:val="32"/>
          <w:szCs w:val="32"/>
        </w:rPr>
      </w:pPr>
      <w:r w:rsidRPr="007316FD">
        <w:rPr>
          <w:rFonts w:ascii="inter" w:eastAsia="inter" w:hAnsi="inter" w:cs="inter"/>
          <w:b/>
          <w:color w:val="000000"/>
          <w:sz w:val="32"/>
          <w:szCs w:val="32"/>
        </w:rPr>
        <w:t>Conclusion</w:t>
      </w:r>
    </w:p>
    <w:p w14:paraId="158A4467" w14:textId="77777777" w:rsidR="00FE27C3" w:rsidRPr="007316FD" w:rsidRDefault="00436E69">
      <w:pPr>
        <w:spacing w:after="210" w:line="360" w:lineRule="auto"/>
        <w:rPr>
          <w:rFonts w:ascii="inter" w:hAnsi="inter"/>
          <w:sz w:val="32"/>
          <w:szCs w:val="32"/>
        </w:rPr>
      </w:pPr>
      <w:r w:rsidRPr="007316FD">
        <w:rPr>
          <w:rFonts w:ascii="inter" w:eastAsia="inter" w:hAnsi="inter" w:cs="inter"/>
          <w:color w:val="000000"/>
          <w:sz w:val="32"/>
          <w:szCs w:val="32"/>
        </w:rPr>
        <w:t>This enhanced analysis demonstrates that LLM agents for stock market prediction exhibit complex, theoretically grounded performance patterns that vary significantly across time horizons, action types, and market sectors. The superior performance of sell actions, combined with temporal decay effects and sector-specific vulnerabilities, provides a nuanced understanding of how these systems can be optimized for practical financial applications. Future research should focus on developing adaptive, sector-specif</w:t>
      </w:r>
      <w:r w:rsidRPr="007316FD">
        <w:rPr>
          <w:rFonts w:ascii="inter" w:eastAsia="inter" w:hAnsi="inter" w:cs="inter"/>
          <w:color w:val="000000"/>
          <w:sz w:val="32"/>
          <w:szCs w:val="32"/>
        </w:rPr>
        <w:t>ic models that account for the temporal dynamics of market sentiment and the asymmetric nature of financial market responses to news events.</w:t>
      </w:r>
    </w:p>
    <w:p w14:paraId="746ED924" w14:textId="77777777" w:rsidR="00FE27C3" w:rsidRPr="007316FD" w:rsidRDefault="00436E69">
      <w:pPr>
        <w:spacing w:line="360" w:lineRule="auto"/>
        <w:jc w:val="center"/>
        <w:rPr>
          <w:rFonts w:ascii="inter" w:hAnsi="inter"/>
          <w:sz w:val="32"/>
          <w:szCs w:val="32"/>
        </w:rPr>
      </w:pPr>
      <w:r w:rsidRPr="007316FD">
        <w:rPr>
          <w:rFonts w:ascii="Segoe UI Symbol" w:eastAsia="inter" w:hAnsi="Segoe UI Symbol" w:cs="Segoe UI Symbol"/>
          <w:color w:val="000000"/>
          <w:sz w:val="32"/>
          <w:szCs w:val="32"/>
        </w:rPr>
        <w:t>⁂</w:t>
      </w:r>
    </w:p>
    <w:p w14:paraId="5B8D1CFB" w14:textId="77777777" w:rsidR="00FE27C3" w:rsidRPr="007316FD" w:rsidRDefault="00436E69">
      <w:pPr>
        <w:spacing w:before="210" w:after="0" w:line="360" w:lineRule="auto"/>
        <w:rPr>
          <w:rFonts w:ascii="inter" w:hAnsi="inter"/>
          <w:sz w:val="32"/>
          <w:szCs w:val="32"/>
        </w:rPr>
      </w:pPr>
      <w:r>
        <w:rPr>
          <w:rFonts w:ascii="inter" w:hAnsi="inter"/>
          <w:noProof/>
          <w:sz w:val="32"/>
          <w:szCs w:val="32"/>
        </w:rPr>
      </w:r>
      <w:r>
        <w:rPr>
          <w:rFonts w:ascii="inter" w:hAnsi="inter"/>
          <w:noProof/>
          <w:sz w:val="32"/>
          <w:szCs w:val="32"/>
        </w:rPr>
        <w:pict w14:anchorId="7E483FA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49" w:name="fn1"/>
    <w:bookmarkStart w:id="50" w:name="fn2"/>
    <w:bookmarkEnd w:id="49"/>
    <w:bookmarkEnd w:id="50"/>
    <w:p w14:paraId="71EABC27"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"https://www.nationalbanken.dk/media/iy4mmotm/working-paper-nr-141.pdf"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https://www.nationalbanken.dk/media/iy4mmotm/working-paper-nr-141.pdf</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1" w:name="fn3"/>
    <w:bookmarkEnd w:id="51"/>
    <w:p w14:paraId="55411FB9"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"https://arxiv.org/pdf/2304.00468.pdf"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https://arxiv.org/pdf/2304.00468.pdf</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2" w:name="fn4"/>
    <w:bookmarkEnd w:id="52"/>
    <w:p w14:paraId="3E6AEA47"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lastRenderedPageBreak/>
        <w:fldChar w:fldCharType="begin"/>
      </w:r>
      <w:r w:rsidRPr="007316FD">
        <w:rPr>
          <w:rFonts w:ascii="inter" w:hAnsi="inter"/>
          <w:sz w:val="32"/>
          <w:szCs w:val="32"/>
        </w:rPr>
        <w:instrText>HYPERLINK "https://www.investopedia.com/terms/m/markettiming.asp"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https://www.investopedia.com/terms/m/markettiming.asp</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3" w:name="fn5"/>
    <w:bookmarkEnd w:id="53"/>
    <w:p w14:paraId="26AA791D"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"https://today.ucsd.edu/story/earnings-news-cause-immediate-stock-price-jumps-sometimes-moving-whole-market"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https://today.ucsd.edu/story/earnings-news-cause-immediate-stock-price-jumps-sometimes-moving-whole-market</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4" w:name="fn6"/>
    <w:bookmarkEnd w:id="54"/>
    <w:p w14:paraId="74F526C6"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"https://www.moodys.com/web/en/us/insights/digital-transformation/the-power-of-news-sentiment-in-modern-financial-analysis.html"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https://www.moodys.com/web/en/us/insights/digital-transformation/the-power-of-news-sentiment-in-modern-financial-analysis.html</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5" w:name="fn7"/>
    <w:bookmarkEnd w:id="55"/>
    <w:p w14:paraId="7BDD6094"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"https://www.investopedia.com/ask/answers/155.asp"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https://www.investopedia.com/ask/answers/155.asp</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6" w:name="fn8"/>
    <w:bookmarkEnd w:id="56"/>
    <w:p w14:paraId="76CF0845"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"https://papers.ssrn.com/sol3/Delivery.cfm/SSRN_ID3753015_code3542370.pdf?abstractid=3753015&amp;mirid=1"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https://papers.ssrn.com/sol3/Delivery.cfm/SSRN_ID3753015_code3542370.pdf?abstractid=3753015&amp;mirid=1</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7" w:name="fn9"/>
    <w:bookmarkEnd w:id="57"/>
    <w:p w14:paraId="7F7D3EAA"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"https://arxiv.org/pdf/1607.01958.pdf"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https://arxiv.org/pdf/1607.01958.pdf</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8" w:name="fn10"/>
    <w:bookmarkEnd w:id="58"/>
    <w:p w14:paraId="02DA0CDA"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"https://www.schwab.com/learn/story/does-market-timing-work"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https://www.schwab.com/learn/story/does-market-timing-work</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59" w:name="fn11"/>
    <w:bookmarkEnd w:id="59"/>
    <w:p w14:paraId="022BBBE0"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"https://www.icicidirect.com/research/equity/finace/stock-portfolio-underperforming-what-should-you-do"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https://www.icicidirect.com/research/equity/finace/stock-portfolio-underperforming-what-should-you-do</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0" w:name="fn12"/>
    <w:bookmarkEnd w:id="60"/>
    <w:p w14:paraId="62D32816"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"https://www.rbcgam.com/documents/en/advisor-support/time-in-the-market-vs-timing-the-market.pdf"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https://www.rbcgam.com/documents/en/advisor-support/time-in-the-market-vs-timing-the-market.pdf</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1" w:name="fn13"/>
    <w:bookmarkEnd w:id="61"/>
    <w:p w14:paraId="59B5CF2B"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"https://govclab.com/2025/04/18/venture-trends-in-2025ai-deeptech-fintech-healthcare/"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https://govclab.com/2025/04/18/venture-trends-in-2025ai-deeptech-fintech-healthcare/</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2" w:name="fn14"/>
    <w:bookmarkEnd w:id="62"/>
    <w:p w14:paraId="2ED98E7F"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lastRenderedPageBreak/>
        <w:fldChar w:fldCharType="begin"/>
      </w:r>
      <w:r w:rsidRPr="007316FD">
        <w:rPr>
          <w:rFonts w:ascii="inter" w:hAnsi="inter"/>
          <w:sz w:val="32"/>
          <w:szCs w:val="32"/>
        </w:rPr>
        <w:instrText>HYPERLINK "https://www.investordaily.com.au/markets/56462-market-volatility-shift-away-from-tech-puts-healthcare-in-spotlight"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https://www.investordaily.com.au/markets/56462-market-volatility-shift-away-from-tech-puts-healthcare-in-spotlight</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3" w:name="fn15"/>
    <w:bookmarkEnd w:id="63"/>
    <w:p w14:paraId="6B3C6ADC"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"https://www.nature.com/articles/s41599-024-02807-x"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https://www.nature.com/articles/s41599-024-02807-x</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4" w:name="fn16"/>
    <w:bookmarkEnd w:id="64"/>
    <w:p w14:paraId="07DC7A21"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"https://www.nature.com/articles/s41598-023-50783-0"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https://www.nature.com/articles/s41598-023-50783-0</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5" w:name="fn17"/>
    <w:bookmarkEnd w:id="65"/>
    <w:p w14:paraId="3045EF60"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"https://arxiv.org/abs/2308.08549"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https://arxiv.org/abs/2308.08549</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6" w:name="fn18"/>
    <w:bookmarkEnd w:id="66"/>
    <w:p w14:paraId="05FCEFE0"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"https://arxiv.org/html/2412.20138"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https://arxiv.org/html/2412.20138</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7" w:name="fn19"/>
    <w:bookmarkEnd w:id="67"/>
    <w:p w14:paraId="538B081D"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"https://arxiv.org/html/2408.06361v1"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https://arxiv.org/html/2408.06361v1</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8" w:name="fn20"/>
    <w:bookmarkEnd w:id="68"/>
    <w:p w14:paraId="17C33307"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"https://tradingagents-ai.github.io"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https://tradingagents-ai.github.io</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69" w:name="fn21"/>
    <w:bookmarkEnd w:id="69"/>
    <w:p w14:paraId="36895C00"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"https://www.suomenpankki.fi/globalassets/bof/en/financial-stability/events/can-large-language-models-trade-ai-agents-competing-in-stock-markets_alejandro-lopez-lira.pdf"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https://www.suomenpankki.fi/globalassets/bof/en/financial-stability/events/can-large-language-models-trade-ai-agents-competing-in-stock-markets_alejandro-lopez-lira.pdf</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70" w:name="fn22"/>
    <w:bookmarkEnd w:id="70"/>
    <w:p w14:paraId="4E9B3847"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"https://arxiv.org/html/2410.20199v1"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https://arxiv.org/html/2410.20199v1</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71" w:name="fn23"/>
    <w:bookmarkEnd w:id="71"/>
    <w:p w14:paraId="33CAD230"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"https://github.com/smartyfh/LLM-Uncertainty-Bench"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https://github.com/smartyfh/LLM-Uncertainty-Bench</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72" w:name="fn24"/>
    <w:bookmarkEnd w:id="72"/>
    <w:p w14:paraId="06EE3F7A"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"https://www.investopedia.com/articles/markets/012716/four-big-risks-algorithmic-highfrequency-trading.asp"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https://www.investopedia.com/articles/markets/012716/four-big-risks-algorithmic-highfrequency-trading.asp</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73" w:name="fn25"/>
    <w:bookmarkEnd w:id="73"/>
    <w:p w14:paraId="7D05DC18" w14:textId="77777777" w:rsidR="00FE27C3" w:rsidRPr="007316FD"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"https://pmc.ncbi.nlm.nih.gov/articles/PMC8978471/"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https://pmc.ncbi.nlm.nih.gov/articles/PMC8978471/</w:t>
      </w:r>
      <w:r w:rsidRPr="007316FD">
        <w:rPr>
          <w:rFonts w:ascii="inter" w:hAnsi="inter"/>
          <w:sz w:val="32"/>
          <w:szCs w:val="32"/>
        </w:rPr>
        <w:fldChar w:fldCharType="end"/>
      </w:r>
      <w:r w:rsidRPr="007316FD">
        <w:rPr>
          <w:rFonts w:ascii="inter" w:eastAsia="inter" w:hAnsi="inter" w:cs="inter"/>
          <w:color w:val="000000"/>
          <w:sz w:val="32"/>
          <w:szCs w:val="32"/>
        </w:rPr>
        <w:t xml:space="preserve"> </w:t>
      </w:r>
    </w:p>
    <w:bookmarkStart w:id="74" w:name="fn26"/>
    <w:bookmarkEnd w:id="74"/>
    <w:p w14:paraId="64D98E6F" w14:textId="77777777" w:rsidR="00FE27C3" w:rsidRPr="003B715F" w:rsidRDefault="00436E69">
      <w:pPr>
        <w:numPr>
          <w:ilvl w:val="0"/>
          <w:numId w:val="2"/>
        </w:numPr>
        <w:spacing w:after="210" w:line="360" w:lineRule="auto"/>
        <w:rPr>
          <w:rFonts w:ascii="inter" w:hAnsi="inter"/>
          <w:sz w:val="32"/>
          <w:szCs w:val="32"/>
        </w:rPr>
      </w:pPr>
      <w:r w:rsidRPr="007316FD">
        <w:rPr>
          <w:rFonts w:ascii="inter" w:hAnsi="inter"/>
          <w:sz w:val="32"/>
          <w:szCs w:val="32"/>
        </w:rPr>
        <w:fldChar w:fldCharType="begin"/>
      </w:r>
      <w:r w:rsidRPr="007316FD">
        <w:rPr>
          <w:rFonts w:ascii="inter" w:hAnsi="inter"/>
          <w:sz w:val="32"/>
          <w:szCs w:val="32"/>
        </w:rPr>
        <w:instrText>HYPERLINK "https://www.utradealgos.com/blog/what-every-trader-should-know-about-algorithmic-trading-risks" \h</w:instrText>
      </w:r>
      <w:r w:rsidRPr="007316FD">
        <w:rPr>
          <w:rFonts w:ascii="inter" w:hAnsi="inter"/>
          <w:sz w:val="32"/>
          <w:szCs w:val="32"/>
        </w:rPr>
      </w:r>
      <w:r w:rsidRPr="007316FD">
        <w:rPr>
          <w:rFonts w:ascii="inter" w:hAnsi="inter"/>
          <w:sz w:val="32"/>
          <w:szCs w:val="32"/>
        </w:rPr>
        <w:fldChar w:fldCharType="separate"/>
      </w:r>
      <w:r w:rsidRPr="007316FD">
        <w:rPr>
          <w:rFonts w:ascii="inter" w:eastAsia="inter" w:hAnsi="inter" w:cs="inter"/>
          <w:sz w:val="32"/>
          <w:szCs w:val="32"/>
          <w:u w:val="single"/>
        </w:rPr>
        <w:t>https://www.utradealgos.com/blog/what-every-trader-should-know-about-algorithmic-trading-risks</w:t>
      </w:r>
      <w:r w:rsidRPr="007316FD">
        <w:rPr>
          <w:rFonts w:ascii="inter" w:hAnsi="inter"/>
          <w:sz w:val="32"/>
          <w:szCs w:val="32"/>
        </w:rPr>
        <w:fldChar w:fldCharType="end"/>
      </w:r>
      <w:r w:rsidRPr="007316FD">
        <w:rPr>
          <w:rFonts w:ascii="inter" w:eastAsia="inter" w:hAnsi="inter" w:cs="inter"/>
          <w:color w:val="000000"/>
          <w:sz w:val="32"/>
          <w:szCs w:val="32"/>
        </w:rPr>
        <w:t xml:space="preserve"> </w:t>
      </w:r>
    </w:p>
    <w:p w14:paraId="1322C9D3" w14:textId="77777777" w:rsidR="003B715F" w:rsidRDefault="003B715F" w:rsidP="003B715F">
      <w:pPr>
        <w:spacing w:after="210" w:line="360" w:lineRule="auto"/>
        <w:rPr>
          <w:rFonts w:ascii="inter" w:eastAsia="inter" w:hAnsi="inter" w:cs="inter"/>
          <w:color w:val="000000"/>
          <w:sz w:val="32"/>
          <w:szCs w:val="32"/>
        </w:rPr>
      </w:pPr>
    </w:p>
    <w:sectPr w:rsidR="003B715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56925"/>
    <w:multiLevelType w:val="hybridMultilevel"/>
    <w:tmpl w:val="1A60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77669"/>
    <w:multiLevelType w:val="hybridMultilevel"/>
    <w:tmpl w:val="C9765E0A"/>
    <w:lvl w:ilvl="0" w:tplc="44747DB2">
      <w:start w:val="1"/>
      <w:numFmt w:val="decimal"/>
      <w:lvlText w:val="%1."/>
      <w:lvlJc w:val="left"/>
      <w:pPr>
        <w:tabs>
          <w:tab w:val="num" w:pos="900"/>
        </w:tabs>
        <w:ind w:left="540" w:hanging="360"/>
      </w:pPr>
    </w:lvl>
    <w:lvl w:ilvl="1" w:tplc="B5F281E4">
      <w:numFmt w:val="decimal"/>
      <w:lvlText w:val=""/>
      <w:lvlJc w:val="left"/>
    </w:lvl>
    <w:lvl w:ilvl="2" w:tplc="824AC7D8">
      <w:numFmt w:val="decimal"/>
      <w:lvlText w:val=""/>
      <w:lvlJc w:val="left"/>
    </w:lvl>
    <w:lvl w:ilvl="3" w:tplc="44D05892">
      <w:numFmt w:val="decimal"/>
      <w:lvlText w:val=""/>
      <w:lvlJc w:val="left"/>
    </w:lvl>
    <w:lvl w:ilvl="4" w:tplc="7396E53E">
      <w:numFmt w:val="decimal"/>
      <w:lvlText w:val=""/>
      <w:lvlJc w:val="left"/>
    </w:lvl>
    <w:lvl w:ilvl="5" w:tplc="09CE82F8">
      <w:numFmt w:val="decimal"/>
      <w:lvlText w:val=""/>
      <w:lvlJc w:val="left"/>
    </w:lvl>
    <w:lvl w:ilvl="6" w:tplc="FA84448E">
      <w:numFmt w:val="decimal"/>
      <w:lvlText w:val=""/>
      <w:lvlJc w:val="left"/>
    </w:lvl>
    <w:lvl w:ilvl="7" w:tplc="70A85884">
      <w:numFmt w:val="decimal"/>
      <w:lvlText w:val=""/>
      <w:lvlJc w:val="left"/>
    </w:lvl>
    <w:lvl w:ilvl="8" w:tplc="31E0C0CA">
      <w:numFmt w:val="decimal"/>
      <w:lvlText w:val=""/>
      <w:lvlJc w:val="left"/>
    </w:lvl>
  </w:abstractNum>
  <w:abstractNum w:abstractNumId="2" w15:restartNumberingAfterBreak="0">
    <w:nsid w:val="4B2F21EA"/>
    <w:multiLevelType w:val="hybridMultilevel"/>
    <w:tmpl w:val="72E082EE"/>
    <w:lvl w:ilvl="0" w:tplc="6212B4A8">
      <w:numFmt w:val="decimal"/>
      <w:lvlText w:val=""/>
      <w:lvlJc w:val="left"/>
    </w:lvl>
    <w:lvl w:ilvl="1" w:tplc="3690AE28">
      <w:numFmt w:val="decimal"/>
      <w:lvlText w:val=""/>
      <w:lvlJc w:val="left"/>
    </w:lvl>
    <w:lvl w:ilvl="2" w:tplc="B16AD3B8">
      <w:numFmt w:val="decimal"/>
      <w:lvlText w:val=""/>
      <w:lvlJc w:val="left"/>
    </w:lvl>
    <w:lvl w:ilvl="3" w:tplc="C5BA23BA">
      <w:numFmt w:val="decimal"/>
      <w:lvlText w:val=""/>
      <w:lvlJc w:val="left"/>
    </w:lvl>
    <w:lvl w:ilvl="4" w:tplc="FC502B42">
      <w:numFmt w:val="decimal"/>
      <w:lvlText w:val=""/>
      <w:lvlJc w:val="left"/>
    </w:lvl>
    <w:lvl w:ilvl="5" w:tplc="0A88628A">
      <w:numFmt w:val="decimal"/>
      <w:lvlText w:val=""/>
      <w:lvlJc w:val="left"/>
    </w:lvl>
    <w:lvl w:ilvl="6" w:tplc="C8143588">
      <w:numFmt w:val="decimal"/>
      <w:lvlText w:val=""/>
      <w:lvlJc w:val="left"/>
    </w:lvl>
    <w:lvl w:ilvl="7" w:tplc="13B8C6DC">
      <w:numFmt w:val="decimal"/>
      <w:lvlText w:val=""/>
      <w:lvlJc w:val="left"/>
    </w:lvl>
    <w:lvl w:ilvl="8" w:tplc="57C6A72E">
      <w:numFmt w:val="decimal"/>
      <w:lvlText w:val=""/>
      <w:lvlJc w:val="left"/>
    </w:lvl>
  </w:abstractNum>
  <w:abstractNum w:abstractNumId="3" w15:restartNumberingAfterBreak="0">
    <w:nsid w:val="589E6520"/>
    <w:multiLevelType w:val="hybridMultilevel"/>
    <w:tmpl w:val="A686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452751">
    <w:abstractNumId w:val="2"/>
  </w:num>
  <w:num w:numId="2" w16cid:durableId="2008555560">
    <w:abstractNumId w:val="1"/>
  </w:num>
  <w:num w:numId="3" w16cid:durableId="58018145">
    <w:abstractNumId w:val="3"/>
  </w:num>
  <w:num w:numId="4" w16cid:durableId="97926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7C3"/>
    <w:rsid w:val="001339B2"/>
    <w:rsid w:val="00165A9C"/>
    <w:rsid w:val="00322CBC"/>
    <w:rsid w:val="0036793F"/>
    <w:rsid w:val="003B715F"/>
    <w:rsid w:val="00436E69"/>
    <w:rsid w:val="006446F0"/>
    <w:rsid w:val="00676B9E"/>
    <w:rsid w:val="007316FD"/>
    <w:rsid w:val="00991B49"/>
    <w:rsid w:val="00A526CD"/>
    <w:rsid w:val="00B9668A"/>
    <w:rsid w:val="00FE27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86410F"/>
  <w15:docId w15:val="{E7272CDE-9876-470E-8B3E-3E46D19AE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B96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 ANSARI</cp:lastModifiedBy>
  <cp:revision>3</cp:revision>
  <dcterms:created xsi:type="dcterms:W3CDTF">2025-07-15T07:07:00Z</dcterms:created>
  <dcterms:modified xsi:type="dcterms:W3CDTF">2025-07-19T06:25:00Z</dcterms:modified>
</cp:coreProperties>
</file>