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300"/>
              <w:left w:type="dxa" w:w="440"/>
              <w:bottom w:type="dxa" w:w="260"/>
              <w:right w:type="dxa" w:w="4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40"/>
                <w:szCs w:val="40"/>
              </w:rPr>
              <w:t xml:space="preserve">U.S. MANUFACTURING HEALTH ANALYSIS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8D0ED"/>
                <w:sz w:val="20"/>
                <w:szCs w:val="20"/>
              </w:rPr>
              <w:t xml:space="preserve">Prepared by: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 SHARAN</w:t>
            </w:r>
            <w:r>
              <w:rPr>
                <w:rFonts w:ascii="Arial" w:cs="Arial" w:eastAsia="Arial" w:hAnsi="Arial"/>
                <w:color w:val="B8D0ED"/>
                <w:sz w:val="20"/>
                <w:szCs w:val="20"/>
              </w:rPr>
              <w:t xml:space="preserve">     |     Date: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March 2026</w:t>
            </w:r>
          </w:p>
          <w:p>
            <w:r>
              <w:rPr>
                <w:rFonts w:ascii="Arial" w:cs="Arial" w:eastAsia="Arial" w:hAnsi="Arial"/>
                <w:color w:val="B8D0ED"/>
                <w:sz w:val="18"/>
                <w:szCs w:val="18"/>
              </w:rPr>
              <w:t xml:space="preserve">Data: FRED Economic Data  |  1992–2025  |  407 monthly observations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7"/>
                <w:szCs w:val="17"/>
              </w:rPr>
              <w:t xml:space="preserve">BUSINESS QUESTION</w:t>
            </w:r>
          </w:p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Which indicators best predict operational stress in U.S. manufacturing, and how quickly do disruptions propagate through orders, shipments, and inventories?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2E75B6" w:sz="8" w:space="6"/>
        </w:pBdr>
        <w:spacing w:after="80" w:before="340"/>
      </w:pPr>
      <w:r>
        <w:rPr>
          <w:rFonts w:ascii="Arial" w:cs="Arial" w:eastAsia="Arial" w:hAnsi="Arial"/>
          <w:b/>
          <w:bCs/>
          <w:color w:val="1B3A6B"/>
          <w:spacing w:val="60"/>
          <w:sz w:val="22"/>
          <w:szCs w:val="22"/>
        </w:rPr>
        <w:t xml:space="preserve">KEY FINDINGS</w:t>
      </w:r>
    </w:p>
    <w:p>
      <w:pPr>
        <w:spacing w:after="0" w:before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80"/>
        <w:gridCol w:w="8880"/>
      </w:tblGrid>
      <w:tr>
        <w:tc>
          <w:tcPr>
            <w:tcW w:type="dxa" w:w="180"/>
            <w:tcBorders>
              <w:top w:val="nil" w:color="FFFFFF" w:sz="0"/>
              <w:left w:val="single" w:color="2E75B6" w:sz="24"/>
              <w:bottom w:val="nil" w:color="FFFFFF" w:sz="0"/>
              <w:right w:val="nil" w:color="FFFFFF" w:sz="0"/>
            </w:tcBorders>
            <w:shd w:fill="D6E4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6"/>
                <w:szCs w:val="16"/>
              </w:rPr>
              <w:t xml:space="preserve">FINDING 1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Demand moves before costs 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Durable goods orders lead the Producer Price Index by 2 months (r = 0.58, p &lt; 0.0001).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Procurement teams watching PPI as a leading indicator are systematically 2 months behind the signal.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80"/>
        <w:gridCol w:w="8880"/>
      </w:tblGrid>
      <w:tr>
        <w:tc>
          <w:tcPr>
            <w:tcW w:type="dxa" w:w="180"/>
            <w:tcBorders>
              <w:top w:val="nil" w:color="FFFFFF" w:sz="0"/>
              <w:left w:val="single" w:color="2E75B6" w:sz="24"/>
              <w:bottom w:val="nil" w:color="FFFFFF" w:sz="0"/>
              <w:right w:val="nil" w:color="FFFFFF" w:sz="0"/>
            </w:tcBorders>
            <w:shd w:fill="D6E4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6"/>
                <w:szCs w:val="16"/>
              </w:rPr>
              <w:t xml:space="preserve">FINDING 2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 all shocks are equal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2008 financial crisis caused a 37.7% YoY decline in durable goods orders — nearly double COVID's 19.3% drop.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However, COVID recovery was faster: orders returned to pre-shock levels within 6 months vs. over 2 years after 2008.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180"/>
        <w:gridCol w:w="8880"/>
      </w:tblGrid>
      <w:tr>
        <w:tc>
          <w:tcPr>
            <w:tcW w:type="dxa" w:w="180"/>
            <w:tcBorders>
              <w:top w:val="nil" w:color="FFFFFF" w:sz="0"/>
              <w:left w:val="single" w:color="2E75B6" w:sz="24"/>
              <w:bottom w:val="nil" w:color="FFFFFF" w:sz="0"/>
              <w:right w:val="nil" w:color="FFFFFF" w:sz="0"/>
            </w:tcBorders>
            <w:shd w:fill="D6E4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6"/>
                <w:szCs w:val="16"/>
              </w:rPr>
              <w:t xml:space="preserve">FINDING 3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Current inventory stress is structural, not cyclical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Orders-to-inventory ratio has remained below its 33-year average for 70 consecutive months (March 2020 – December 2025).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is the longest sustained stress period in the dataset and suggests an inventory overhang that has not fully corrected.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6"/>
        </w:pBdr>
        <w:spacing w:after="80" w:before="340"/>
      </w:pPr>
      <w:r>
        <w:rPr>
          <w:rFonts w:ascii="Arial" w:cs="Arial" w:eastAsia="Arial" w:hAnsi="Arial"/>
          <w:b/>
          <w:bCs/>
          <w:color w:val="1B3A6B"/>
          <w:spacing w:val="60"/>
          <w:sz w:val="22"/>
          <w:szCs w:val="22"/>
        </w:rPr>
        <w:t xml:space="preserve">RECOMMENDATIONS</w:t>
      </w:r>
    </w:p>
    <w:p>
      <w:pPr>
        <w:spacing w:after="0" w:before="80"/>
      </w:pPr>
      <w:r>
        <w:t xml:space="preserve"/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 durable goods orders, not PPI, as your procurement early warning indicator — it gives a 2-month head start on cost changes.</w:t>
            </w:r>
          </w:p>
        </w:tc>
      </w:tr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" w:before="8"/>
            </w:pPr>
            <w:r>
              <w:t xml:space="preserve"/>
            </w:r>
          </w:p>
        </w:tc>
        <w:tc>
          <w:tcPr>
            <w:tcW w:type="dxa" w:w="8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Treat the current environment as structurally stressed, not cyclically recovering. Inventory reduction should be an active priority, not a wait-and-see decision.</w:t>
            </w:r>
          </w:p>
        </w:tc>
      </w:tr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" w:before="8"/>
            </w:pPr>
            <w:r>
              <w:t xml:space="preserve"/>
            </w:r>
          </w:p>
        </w:tc>
        <w:tc>
          <w:tcPr>
            <w:tcW w:type="dxa" w:w="8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8" w:before="8"/>
            </w:pPr>
            <w:r>
              <w:t xml:space="preserve"/>
            </w:r>
          </w:p>
        </w:tc>
      </w:tr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3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Flag any single-month order surge above 10% MoM as a potential precursor to a sharp correction — the July 2014 spike of +26% was immediately followed by the largest single-month drop in the dataset.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6"/>
        </w:pBdr>
        <w:spacing w:after="80" w:before="340"/>
      </w:pPr>
      <w:r>
        <w:rPr>
          <w:rFonts w:ascii="Arial" w:cs="Arial" w:eastAsia="Arial" w:hAnsi="Arial"/>
          <w:b/>
          <w:bCs/>
          <w:color w:val="1B3A6B"/>
          <w:spacing w:val="60"/>
          <w:sz w:val="22"/>
          <w:szCs w:val="22"/>
        </w:rPr>
        <w:t xml:space="preserve">METHODOLOGY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Analysis Type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series analysis, lag correlation (Pearson r), month-over-month and year-over-year % change, rolling averages, inventory stress ratio design.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(Pandas, SciPy, Matplotlib), SQL queries in SQLite, dashboard in Tableau Public.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Dataset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FRED Economic Data | 1992–2025 | 407 monthly observations.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75B6" w:sz="8" w:space="6"/>
        </w:pBdr>
        <w:spacing w:after="80" w:before="340"/>
      </w:pPr>
      <w:r>
        <w:rPr>
          <w:rFonts w:ascii="Arial" w:cs="Arial" w:eastAsia="Arial" w:hAnsi="Arial"/>
          <w:b/>
          <w:bCs/>
          <w:color w:val="1B3A6B"/>
          <w:spacing w:val="60"/>
          <w:sz w:val="22"/>
          <w:szCs w:val="22"/>
        </w:rPr>
        <w:t xml:space="preserve">DASHBOARD &amp; RESOURCES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140"/>
        <w:gridCol w:w="4680"/>
      </w:tblGrid>
      <w:tr>
        <w:tc>
          <w:tcPr>
            <w:tcW w:type="dxa" w:w="4540"/>
            <w:tcBorders>
              <w:top w:val="single" w:color="C5D8EE" w:sz="1"/>
              <w:left w:val="single" w:color="C5D8EE" w:sz="1"/>
              <w:bottom w:val="single" w:color="C5D8EE" w:sz="1"/>
              <w:right w:val="nil" w:color="FFFFFF" w:sz="0"/>
            </w:tcBorders>
            <w:shd w:fill="F3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7"/>
                <w:szCs w:val="17"/>
              </w:rPr>
              <w:t xml:space="preserve">TABLEAU DASHBOARD</w:t>
            </w:r>
          </w:p>
          <w:p>
            <w:hyperlink w:history="1" r:id="rIdet4z99of7nzms40xpxw8u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 w:color="2E75B6"/>
                </w:rPr>
                <w:t xml:space="preserve">View Interactive Dashboard →</w:t>
              </w:r>
            </w:hyperlink>
          </w:p>
        </w:tc>
        <w:tc>
          <w:tcPr>
            <w:tcW w:type="dxa" w:w="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/>
        </w:tc>
        <w:tc>
          <w:tcPr>
            <w:tcW w:type="dxa" w:w="468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3F6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pacing w:val="40"/>
                <w:sz w:val="17"/>
                <w:szCs w:val="17"/>
              </w:rPr>
              <w:t xml:space="preserve">GITHUB REPOSITORY</w:t>
            </w:r>
          </w:p>
          <w:p>
            <w:hyperlink w:history="1" r:id="rIderom6kurad32ytf22fbmn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 w:color="2E75B6"/>
                </w:rPr>
                <w:t xml:space="preserve">View Source Code →</w:t>
              </w:r>
            </w:hyperlink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720" w:right="940" w:bottom="94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4" w:space="6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U.S. Manufacturing Health Analysis  |  FRED Economic Data 1992–2025</w:t>
    </w:r>
    <w:r>
      <w:rPr>
        <w:rFonts w:ascii="Arial" w:cs="Arial" w:eastAsia="Arial" w:hAnsi="Arial"/>
        <w:color w:val="6B7280"/>
        <w:sz w:val="16"/>
        <w:szCs w:val="16"/>
      </w:rPr>
      <w:t xml:space="preserve">      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t4z99of7nzms40xpxw8u" Type="http://schemas.openxmlformats.org/officeDocument/2006/relationships/hyperlink" Target="https://public.tableau.com" TargetMode="External"/><Relationship Id="rIderom6kurad32ytf22fbmn" Type="http://schemas.openxmlformats.org/officeDocument/2006/relationships/hyperlink" Target="https://github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2026-03-10T03:32:04.022Z</dcterms:created>
  <dcterms:modified xsi:type="dcterms:W3CDTF">2026-03-10T03:32:04.023Z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