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4"/>
        <w:keepNext w:val="0"/>
        <w:keepLines w:val="0"/>
        <w:spacing w:before="480" w:line="240" w:lineRule="auto"/>
        <w:rPr/>
      </w:pPr>
      <w:bookmarkStart w:colFirst="0" w:colLast="0" w:name="_y53erwon0i28" w:id="0"/>
      <w:bookmarkEnd w:id="0"/>
      <w:r w:rsidDel="00000000" w:rsidR="00000000" w:rsidRPr="00000000">
        <w:rPr>
          <w:rtl w:val="0"/>
        </w:rPr>
        <w:t xml:space="preserve">Proposed Title</w:t>
      </w:r>
    </w:p>
    <w:p w:rsidR="00000000" w:rsidDel="00000000" w:rsidP="00000000" w:rsidRDefault="00000000" w:rsidRPr="00000000" w14:paraId="00000002">
      <w:pPr>
        <w:spacing w:after="240" w:before="240" w:line="240" w:lineRule="auto"/>
        <w:rPr>
          <w:rFonts w:ascii="Garamond" w:cs="Garamond" w:eastAsia="Garamond" w:hAnsi="Garamond"/>
          <w:b w:val="1"/>
          <w:bCs w:val="1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0"/>
          <w:szCs w:val="20"/>
          <w:rtl w:val="0"/>
        </w:rPr>
        <w:t xml:space="preserve">“Synthetic Tabular Data Generation at the Intersection of Privacy, Fidelity, and Rare Events: A Diffusion-Based Approach”</w:t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="240" w:lineRule="auto"/>
        <w:rPr>
          <w:rFonts w:ascii="Garamond" w:cs="Garamond" w:eastAsia="Garamond" w:hAnsi="Garamond"/>
          <w:b w:val="1"/>
          <w:bCs w:val="1"/>
          <w:sz w:val="28"/>
          <w:szCs w:val="28"/>
        </w:rPr>
      </w:pPr>
      <w:bookmarkStart w:colFirst="0" w:colLast="0" w:name="_krlcxrkhvqga" w:id="1"/>
      <w:bookmarkEnd w:id="1"/>
      <w:r w:rsidDel="00000000" w:rsidR="00000000" w:rsidRPr="00000000">
        <w:rPr>
          <w:rFonts w:ascii="Garamond" w:cs="Garamond" w:eastAsia="Garamond" w:hAnsi="Garamond"/>
          <w:b w:val="1"/>
          <w:bCs w:val="1"/>
          <w:sz w:val="28"/>
          <w:szCs w:val="28"/>
          <w:rtl w:val="0"/>
        </w:rPr>
        <w:t xml:space="preserve">Problem Statement</w:t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="240" w:lineRule="auto"/>
        <w:rPr>
          <w:rFonts w:ascii="Garamond" w:cs="Garamond" w:eastAsia="Garamond" w:hAnsi="Garamond"/>
          <w:sz w:val="20"/>
          <w:szCs w:val="20"/>
        </w:rPr>
      </w:pPr>
      <w:bookmarkStart w:colFirst="0" w:colLast="0" w:name="_uel98pmk498k" w:id="2"/>
      <w:bookmarkEnd w:id="2"/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In finance, healthcare, and other sensitive domains, data is both the most valuable asset and the most restricted resource. Regulations such as the </w:t>
      </w:r>
      <w:r w:rsidDel="00000000" w:rsidR="00000000" w:rsidRPr="00000000">
        <w:rPr>
          <w:rFonts w:ascii="Garamond" w:cs="Garamond" w:eastAsia="Garamond" w:hAnsi="Garamond"/>
          <w:b w:val="1"/>
          <w:bCs w:val="1"/>
          <w:sz w:val="20"/>
          <w:szCs w:val="20"/>
          <w:rtl w:val="0"/>
        </w:rPr>
        <w:t xml:space="preserve">General Data Protection Regulation (GDPR)</w:t>
      </w: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 and India’s </w:t>
      </w:r>
      <w:r w:rsidDel="00000000" w:rsidR="00000000" w:rsidRPr="00000000">
        <w:rPr>
          <w:rFonts w:ascii="Garamond" w:cs="Garamond" w:eastAsia="Garamond" w:hAnsi="Garamond"/>
          <w:b w:val="1"/>
          <w:bCs w:val="1"/>
          <w:sz w:val="20"/>
          <w:szCs w:val="20"/>
          <w:rtl w:val="0"/>
        </w:rPr>
        <w:t xml:space="preserve">Digital Personal Data Protection (DPDP) Act</w:t>
      </w: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 make direct data sharing difficult. At the same time, innovation in fraud detection, credit scoring, and patient care requires access to large-scale datasets.</w:t>
      </w:r>
    </w:p>
    <w:p w:rsidR="00000000" w:rsidDel="00000000" w:rsidP="00000000" w:rsidRDefault="00000000" w:rsidRPr="00000000" w14:paraId="00000005">
      <w:pPr>
        <w:spacing w:after="240" w:before="240" w:line="240" w:lineRule="auto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0"/>
          <w:szCs w:val="20"/>
          <w:rtl w:val="0"/>
        </w:rPr>
        <w:t xml:space="preserve">Synthetic tabular data</w:t>
      </w: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 has emerged as a promising solution because it creates artificial data that statistically resembles real datasets without directly exposing individual records. However, no existing method successfully meets the following </w:t>
      </w:r>
      <w:r w:rsidDel="00000000" w:rsidR="00000000" w:rsidRPr="00000000">
        <w:rPr>
          <w:rFonts w:ascii="Garamond" w:cs="Garamond" w:eastAsia="Garamond" w:hAnsi="Garamond"/>
          <w:b w:val="1"/>
          <w:bCs w:val="1"/>
          <w:sz w:val="20"/>
          <w:szCs w:val="20"/>
          <w:rtl w:val="0"/>
        </w:rPr>
        <w:t xml:space="preserve">three critical requirements simultaneously</w:t>
      </w: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before="24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0"/>
          <w:szCs w:val="20"/>
          <w:rtl w:val="0"/>
        </w:rPr>
        <w:t xml:space="preserve">Utility</w:t>
      </w:r>
      <w:r w:rsidDel="00000000" w:rsidR="00000000" w:rsidRPr="00000000">
        <w:rPr>
          <w:rFonts w:ascii="Gungsuh" w:cs="Gungsuh" w:eastAsia="Gungsuh" w:hAnsi="Gungsuh"/>
          <w:sz w:val="20"/>
          <w:szCs w:val="20"/>
          <w:rtl w:val="0"/>
        </w:rPr>
        <w:t xml:space="preserve"> — downstream machine learning models trained on synthetic data should perform almost as well as those trained on real data (ideally, ≤5% drop in </w:t>
      </w:r>
      <w:r w:rsidDel="00000000" w:rsidR="00000000" w:rsidRPr="00000000">
        <w:rPr>
          <w:rFonts w:ascii="Garamond" w:cs="Garamond" w:eastAsia="Garamond" w:hAnsi="Garamond"/>
          <w:b w:val="1"/>
          <w:bCs w:val="1"/>
          <w:sz w:val="20"/>
          <w:szCs w:val="20"/>
          <w:rtl w:val="0"/>
        </w:rPr>
        <w:t xml:space="preserve">Area Under the Curve (AUC)</w:t>
      </w: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0"/>
          <w:szCs w:val="20"/>
          <w:rtl w:val="0"/>
        </w:rPr>
        <w:t xml:space="preserve">Privacy</w:t>
      </w: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 — synthetic data must come with </w:t>
      </w:r>
      <w:r w:rsidDel="00000000" w:rsidR="00000000" w:rsidRPr="00000000">
        <w:rPr>
          <w:rFonts w:ascii="Garamond" w:cs="Garamond" w:eastAsia="Garamond" w:hAnsi="Garamond"/>
          <w:b w:val="1"/>
          <w:bCs w:val="1"/>
          <w:sz w:val="20"/>
          <w:szCs w:val="20"/>
          <w:rtl w:val="0"/>
        </w:rPr>
        <w:t xml:space="preserve">formal guarantees</w:t>
      </w: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 such as </w:t>
      </w:r>
      <w:r w:rsidDel="00000000" w:rsidR="00000000" w:rsidRPr="00000000">
        <w:rPr>
          <w:rFonts w:ascii="Garamond" w:cs="Garamond" w:eastAsia="Garamond" w:hAnsi="Garamond"/>
          <w:b w:val="1"/>
          <w:bCs w:val="1"/>
          <w:sz w:val="20"/>
          <w:szCs w:val="20"/>
          <w:rtl w:val="0"/>
        </w:rPr>
        <w:t xml:space="preserve">Differential Privacy (DP)</w:t>
      </w:r>
      <w:r w:rsidDel="00000000" w:rsidR="00000000" w:rsidRPr="00000000">
        <w:rPr>
          <w:rFonts w:ascii="Cardo" w:cs="Cardo" w:eastAsia="Cardo" w:hAnsi="Cardo"/>
          <w:sz w:val="20"/>
          <w:szCs w:val="20"/>
          <w:rtl w:val="0"/>
        </w:rPr>
        <w:t xml:space="preserve"> with ε≈1–2, while also resisting </w:t>
      </w:r>
      <w:r w:rsidDel="00000000" w:rsidR="00000000" w:rsidRPr="00000000">
        <w:rPr>
          <w:rFonts w:ascii="Garamond" w:cs="Garamond" w:eastAsia="Garamond" w:hAnsi="Garamond"/>
          <w:b w:val="1"/>
          <w:bCs w:val="1"/>
          <w:sz w:val="20"/>
          <w:szCs w:val="20"/>
          <w:rtl w:val="0"/>
        </w:rPr>
        <w:t xml:space="preserve">Membership Inference Attacks (MIA)</w:t>
      </w: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 and </w:t>
      </w:r>
      <w:r w:rsidDel="00000000" w:rsidR="00000000" w:rsidRPr="00000000">
        <w:rPr>
          <w:rFonts w:ascii="Garamond" w:cs="Garamond" w:eastAsia="Garamond" w:hAnsi="Garamond"/>
          <w:b w:val="1"/>
          <w:bCs w:val="1"/>
          <w:sz w:val="20"/>
          <w:szCs w:val="20"/>
          <w:rtl w:val="0"/>
        </w:rPr>
        <w:t xml:space="preserve">Property Inference Attacks (PIA)</w:t>
      </w: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24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0"/>
          <w:szCs w:val="20"/>
          <w:rtl w:val="0"/>
        </w:rPr>
        <w:t xml:space="preserve">Rare-event fidelity</w:t>
      </w: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 — rare but important patterns, such as fraudulent transactions (&lt;1% prevalence) or extreme quantiles in healthcare data, must be preserved rather than washed out by generative models.</w:t>
        <w:br w:type="textWrapping"/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="240" w:lineRule="auto"/>
        <w:rPr>
          <w:rFonts w:ascii="Garamond" w:cs="Garamond" w:eastAsia="Garamond" w:hAnsi="Garamond"/>
          <w:b w:val="1"/>
          <w:bCs w:val="1"/>
          <w:color w:val="000000"/>
          <w:sz w:val="20"/>
          <w:szCs w:val="20"/>
        </w:rPr>
      </w:pPr>
      <w:bookmarkStart w:colFirst="0" w:colLast="0" w:name="_x8j267nmfa4p" w:id="3"/>
      <w:bookmarkEnd w:id="3"/>
      <w:r w:rsidDel="00000000" w:rsidR="00000000" w:rsidRPr="00000000">
        <w:rPr>
          <w:rFonts w:ascii="Garamond" w:cs="Garamond" w:eastAsia="Garamond" w:hAnsi="Garamond"/>
          <w:b w:val="1"/>
          <w:bCs w:val="1"/>
          <w:color w:val="000000"/>
          <w:sz w:val="20"/>
          <w:szCs w:val="20"/>
          <w:rtl w:val="0"/>
        </w:rPr>
        <w:t xml:space="preserve">Summary of Models vs. Outcomes</w:t>
      </w:r>
    </w:p>
    <w:tbl>
      <w:tblPr>
        <w:tblStyle w:val="Table1"/>
        <w:tblW w:w="9360.00000000000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59.2539601430763"/>
        <w:gridCol w:w="2271.8446601941746"/>
        <w:gridCol w:w="2630.556974961676"/>
        <w:gridCol w:w="1798.3444047010732"/>
        <w:tblGridChange w:id="0">
          <w:tblGrid>
            <w:gridCol w:w="2659.2539601430763"/>
            <w:gridCol w:w="2271.8446601941746"/>
            <w:gridCol w:w="2630.556974961676"/>
            <w:gridCol w:w="1798.3444047010732"/>
          </w:tblGrid>
        </w:tblGridChange>
      </w:tblGrid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line="240" w:lineRule="auto"/>
              <w:jc w:val="center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Model Family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line="240" w:lineRule="auto"/>
              <w:jc w:val="center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Utility (Downstream AUC)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line="240" w:lineRule="auto"/>
              <w:jc w:val="center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Fidelity (Kolmogorov–Smirnov (KS), Correlations)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line="240" w:lineRule="auto"/>
              <w:jc w:val="center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Privacy (DP / Attacks)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line="240" w:lineRule="auto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Generative Adversarial Networks (GANs)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line="240" w:lineRule="auto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Often </w:t>
            </w: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10–20% drop</w:t>
            </w: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 vs real data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line="240" w:lineRule="auto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Misses rare events, weak correlations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line="240" w:lineRule="auto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No formal DP; vulnerable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line="240" w:lineRule="auto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Variational Autoencoders (VAEs)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line="240" w:lineRule="auto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8–15% drop</w:t>
            </w: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; more stable but blurry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line="240" w:lineRule="auto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Smooth, less sharp distributions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line="240" w:lineRule="auto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No DP; weak attack analysis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line="240" w:lineRule="auto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Diffusion Models (non-private)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line="240" w:lineRule="auto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sz w:val="20"/>
                <w:szCs w:val="20"/>
                <w:rtl w:val="0"/>
              </w:rPr>
              <w:t xml:space="preserve">≤5–10% drop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line="240" w:lineRule="auto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Cardo" w:cs="Cardo" w:eastAsia="Cardo" w:hAnsi="Cardo"/>
                <w:sz w:val="20"/>
                <w:szCs w:val="20"/>
                <w:rtl w:val="0"/>
              </w:rPr>
              <w:t xml:space="preserve">Strongest fidelity; KS ↓30–40% vs GANs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line="240" w:lineRule="auto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No DP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line="240" w:lineRule="auto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Differentially Private Diffusion Models (DP Diffusion)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line="240" w:lineRule="auto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Cardo" w:cs="Cardo" w:eastAsia="Cardo" w:hAnsi="Cardo"/>
                <w:sz w:val="20"/>
                <w:szCs w:val="20"/>
                <w:rtl w:val="0"/>
              </w:rPr>
              <w:t xml:space="preserve">ε≈1–2: </w:t>
            </w: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sz w:val="20"/>
                <w:szCs w:val="20"/>
                <w:rtl w:val="0"/>
              </w:rPr>
              <w:t xml:space="preserve">≤5–10% drop</w:t>
            </w: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; ε&lt;1: </w:t>
            </w: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10–20% drop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line="240" w:lineRule="auto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Good overall fidelity; weak on rare events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line="240" w:lineRule="auto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Formal DP; partial attack defense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line="240" w:lineRule="auto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Large Language Models (LLMs)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line="240" w:lineRule="auto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Few-shot: </w:t>
            </w: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+3–8% gain</w:t>
            </w: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 in small-data tasks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line="240" w:lineRule="auto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Not full generators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line="240" w:lineRule="auto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No DP; costly, token-limited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line="240" w:lineRule="auto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Unified Diffusion + Transformer Models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line="240" w:lineRule="auto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sz w:val="20"/>
                <w:szCs w:val="20"/>
                <w:rtl w:val="0"/>
              </w:rPr>
              <w:t xml:space="preserve">≤5% gap</w:t>
            </w: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 in high-dimensional tasks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line="240" w:lineRule="auto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Strong correlations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line="240" w:lineRule="auto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No DP integration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line="240" w:lineRule="auto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Evaluation Studies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line="240" w:lineRule="auto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Confirm trade-offs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line="240" w:lineRule="auto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ungsuh" w:cs="Gungsuh" w:eastAsia="Gungsuh" w:hAnsi="Gungsuh"/>
                <w:sz w:val="20"/>
                <w:szCs w:val="20"/>
                <w:rtl w:val="0"/>
              </w:rPr>
              <w:t xml:space="preserve">Fidelity ≠ Privacy ≠ Utility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line="240" w:lineRule="auto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Attacks succeed without DP</w:t>
            </w:r>
          </w:p>
        </w:tc>
      </w:tr>
    </w:tbl>
    <w:p w:rsidR="00000000" w:rsidDel="00000000" w:rsidP="00000000" w:rsidRDefault="00000000" w:rsidRPr="00000000" w14:paraId="0000002A">
      <w:pPr>
        <w:spacing w:after="240" w:before="240" w:line="240" w:lineRule="auto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0"/>
          <w:szCs w:val="20"/>
          <w:rtl w:val="0"/>
        </w:rPr>
        <w:t xml:space="preserve">Key gap:</w:t>
      </w: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 No existing approach achieves </w:t>
      </w:r>
      <w:r w:rsidDel="00000000" w:rsidR="00000000" w:rsidRPr="00000000">
        <w:rPr>
          <w:rFonts w:ascii="Garamond" w:cs="Garamond" w:eastAsia="Garamond" w:hAnsi="Garamond"/>
          <w:b w:val="1"/>
          <w:bCs w:val="1"/>
          <w:sz w:val="20"/>
          <w:szCs w:val="20"/>
          <w:rtl w:val="0"/>
        </w:rPr>
        <w:t xml:space="preserve">privacy, utility, and rare-event fidelity together</w:t>
      </w: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2B">
      <w:pPr>
        <w:pStyle w:val="Heading1"/>
        <w:keepNext w:val="0"/>
        <w:keepLines w:val="0"/>
        <w:spacing w:before="480" w:line="240" w:lineRule="auto"/>
        <w:rPr>
          <w:rFonts w:ascii="Garamond" w:cs="Garamond" w:eastAsia="Garamond" w:hAnsi="Garamond"/>
          <w:b w:val="1"/>
          <w:bCs w:val="1"/>
          <w:sz w:val="28"/>
          <w:szCs w:val="28"/>
        </w:rPr>
      </w:pPr>
      <w:bookmarkStart w:colFirst="0" w:colLast="0" w:name="_646t88s5tixf" w:id="4"/>
      <w:bookmarkEnd w:id="4"/>
      <w:r w:rsidDel="00000000" w:rsidR="00000000" w:rsidRPr="00000000">
        <w:rPr>
          <w:rFonts w:ascii="Garamond" w:cs="Garamond" w:eastAsia="Garamond" w:hAnsi="Garamond"/>
          <w:b w:val="1"/>
          <w:bCs w:val="1"/>
          <w:sz w:val="28"/>
          <w:szCs w:val="28"/>
          <w:rtl w:val="0"/>
        </w:rPr>
        <w:t xml:space="preserve">Related Work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0" w:afterAutospacing="0" w:before="24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0"/>
          <w:szCs w:val="20"/>
          <w:rtl w:val="0"/>
        </w:rPr>
        <w:t xml:space="preserve">Generative Adversarial Networks (GANs)</w:t>
      </w: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 were the first widely used approach but suffered from instability and mode collapse, often missing rare classes. AUC losses of </w:t>
      </w:r>
      <w:r w:rsidDel="00000000" w:rsidR="00000000" w:rsidRPr="00000000">
        <w:rPr>
          <w:rFonts w:ascii="Garamond" w:cs="Garamond" w:eastAsia="Garamond" w:hAnsi="Garamond"/>
          <w:b w:val="1"/>
          <w:bCs w:val="1"/>
          <w:sz w:val="20"/>
          <w:szCs w:val="20"/>
          <w:rtl w:val="0"/>
        </w:rPr>
        <w:t xml:space="preserve">10–20%</w:t>
      </w: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 compared to real data are typical.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0"/>
          <w:szCs w:val="20"/>
          <w:rtl w:val="0"/>
        </w:rPr>
        <w:t xml:space="preserve">Variational Autoencoders (VAEs)</w:t>
      </w: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 offered more stable training, but their outputs were blurry and lacked sharp distributional fidelity, leading to an </w:t>
      </w:r>
      <w:r w:rsidDel="00000000" w:rsidR="00000000" w:rsidRPr="00000000">
        <w:rPr>
          <w:rFonts w:ascii="Garamond" w:cs="Garamond" w:eastAsia="Garamond" w:hAnsi="Garamond"/>
          <w:b w:val="1"/>
          <w:bCs w:val="1"/>
          <w:sz w:val="20"/>
          <w:szCs w:val="20"/>
          <w:rtl w:val="0"/>
        </w:rPr>
        <w:t xml:space="preserve">8–15% AUC drop</w:t>
      </w: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0"/>
          <w:szCs w:val="20"/>
          <w:rtl w:val="0"/>
        </w:rPr>
        <w:t xml:space="preserve">Diffusion Models (DMs)</w:t>
      </w: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 introduced greater stability and fidelity, with </w:t>
      </w:r>
      <w:r w:rsidDel="00000000" w:rsidR="00000000" w:rsidRPr="00000000">
        <w:rPr>
          <w:rFonts w:ascii="Garamond" w:cs="Garamond" w:eastAsia="Garamond" w:hAnsi="Garamond"/>
          <w:b w:val="1"/>
          <w:bCs w:val="1"/>
          <w:sz w:val="20"/>
          <w:szCs w:val="20"/>
          <w:rtl w:val="0"/>
        </w:rPr>
        <w:t xml:space="preserve">30–40% lower KS distances</w:t>
      </w: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 compared to GANs and typically within </w:t>
      </w:r>
      <w:r w:rsidDel="00000000" w:rsidR="00000000" w:rsidRPr="00000000">
        <w:rPr>
          <w:rFonts w:ascii="Gungsuh" w:cs="Gungsuh" w:eastAsia="Gungsuh" w:hAnsi="Gungsuh"/>
          <w:b w:val="1"/>
          <w:bCs w:val="1"/>
          <w:sz w:val="20"/>
          <w:szCs w:val="20"/>
          <w:rtl w:val="0"/>
        </w:rPr>
        <w:t xml:space="preserve">≤10% AUC drop</w:t>
      </w: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 of real data. However, they remain computationally expensive.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0"/>
          <w:szCs w:val="20"/>
          <w:rtl w:val="0"/>
        </w:rPr>
        <w:t xml:space="preserve">Differential Privacy (DP)</w:t>
      </w: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 has been applied using </w:t>
      </w:r>
      <w:r w:rsidDel="00000000" w:rsidR="00000000" w:rsidRPr="00000000">
        <w:rPr>
          <w:rFonts w:ascii="Garamond" w:cs="Garamond" w:eastAsia="Garamond" w:hAnsi="Garamond"/>
          <w:b w:val="1"/>
          <w:bCs w:val="1"/>
          <w:sz w:val="20"/>
          <w:szCs w:val="20"/>
          <w:rtl w:val="0"/>
        </w:rPr>
        <w:t xml:space="preserve">Differentially Private Stochastic Gradient Descent (DP-SGD)</w:t>
      </w:r>
      <w:r w:rsidDel="00000000" w:rsidR="00000000" w:rsidRPr="00000000">
        <w:rPr>
          <w:rFonts w:ascii="Cardo" w:cs="Cardo" w:eastAsia="Cardo" w:hAnsi="Cardo"/>
          <w:sz w:val="20"/>
          <w:szCs w:val="20"/>
          <w:rtl w:val="0"/>
        </w:rPr>
        <w:t xml:space="preserve">. At ε≈1–2, DP diffusion models retained </w:t>
      </w:r>
      <w:r w:rsidDel="00000000" w:rsidR="00000000" w:rsidRPr="00000000">
        <w:rPr>
          <w:rFonts w:ascii="Gungsuh" w:cs="Gungsuh" w:eastAsia="Gungsuh" w:hAnsi="Gungsuh"/>
          <w:b w:val="1"/>
          <w:bCs w:val="1"/>
          <w:sz w:val="20"/>
          <w:szCs w:val="20"/>
          <w:rtl w:val="0"/>
        </w:rPr>
        <w:t xml:space="preserve">≤10% AUC drop</w:t>
      </w: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, but stricter ε&lt;1 budgets caused </w:t>
      </w:r>
      <w:r w:rsidDel="00000000" w:rsidR="00000000" w:rsidRPr="00000000">
        <w:rPr>
          <w:rFonts w:ascii="Garamond" w:cs="Garamond" w:eastAsia="Garamond" w:hAnsi="Garamond"/>
          <w:b w:val="1"/>
          <w:bCs w:val="1"/>
          <w:sz w:val="20"/>
          <w:szCs w:val="20"/>
          <w:rtl w:val="0"/>
        </w:rPr>
        <w:t xml:space="preserve">10–20% drops</w:t>
      </w: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. Moreover, studies show that low utility does not guarantee privacy; MIAs and PIAs can still succeed with </w:t>
      </w:r>
      <w:r w:rsidDel="00000000" w:rsidR="00000000" w:rsidRPr="00000000">
        <w:rPr>
          <w:rFonts w:ascii="Garamond" w:cs="Garamond" w:eastAsia="Garamond" w:hAnsi="Garamond"/>
          <w:b w:val="1"/>
          <w:bCs w:val="1"/>
          <w:sz w:val="20"/>
          <w:szCs w:val="20"/>
          <w:rtl w:val="0"/>
        </w:rPr>
        <w:t xml:space="preserve">AUC 0.65–0.75</w:t>
      </w: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0"/>
          <w:szCs w:val="20"/>
          <w:rtl w:val="0"/>
        </w:rPr>
        <w:t xml:space="preserve">Large Language Models (LLMs)</w:t>
      </w: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, when applied to tabular data by serializing rows into natural language, achieved </w:t>
      </w:r>
      <w:r w:rsidDel="00000000" w:rsidR="00000000" w:rsidRPr="00000000">
        <w:rPr>
          <w:rFonts w:ascii="Garamond" w:cs="Garamond" w:eastAsia="Garamond" w:hAnsi="Garamond"/>
          <w:b w:val="1"/>
          <w:bCs w:val="1"/>
          <w:sz w:val="20"/>
          <w:szCs w:val="20"/>
          <w:rtl w:val="0"/>
        </w:rPr>
        <w:t xml:space="preserve">3–8% AUC gains</w:t>
      </w: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 in few-shot settings compared to traditional baselines such as </w:t>
      </w:r>
      <w:r w:rsidDel="00000000" w:rsidR="00000000" w:rsidRPr="00000000">
        <w:rPr>
          <w:rFonts w:ascii="Garamond" w:cs="Garamond" w:eastAsia="Garamond" w:hAnsi="Garamond"/>
          <w:b w:val="1"/>
          <w:bCs w:val="1"/>
          <w:sz w:val="20"/>
          <w:szCs w:val="20"/>
          <w:rtl w:val="0"/>
        </w:rPr>
        <w:t xml:space="preserve">Extreme Gradient Boosting (XGBoost)</w:t>
      </w: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. However, they remain computationally costly and are unsuitable for large-scale data generation.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0"/>
          <w:szCs w:val="20"/>
          <w:rtl w:val="0"/>
        </w:rPr>
        <w:t xml:space="preserve">Unified Diffusion–Transformer Models</w:t>
      </w: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 improved high-dimensional synthesis and imputation, reducing </w:t>
      </w:r>
      <w:r w:rsidDel="00000000" w:rsidR="00000000" w:rsidRPr="00000000">
        <w:rPr>
          <w:rFonts w:ascii="Garamond" w:cs="Garamond" w:eastAsia="Garamond" w:hAnsi="Garamond"/>
          <w:b w:val="1"/>
          <w:bCs w:val="1"/>
          <w:sz w:val="20"/>
          <w:szCs w:val="20"/>
          <w:rtl w:val="0"/>
        </w:rPr>
        <w:t xml:space="preserve">Root Mean Square Error (RMSE) by 10–20%</w:t>
      </w: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, but lacked formal DP integration.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after="24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0"/>
          <w:szCs w:val="20"/>
          <w:rtl w:val="0"/>
        </w:rPr>
        <w:t xml:space="preserve">Evaluation studies</w:t>
      </w: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 consistently conclude that there is no universal best model: high fidelity does not guarantee privacy, and strong privacy budgets degrade utility. Rare-event fidelity and systematic adversarial testing remain largely unexplored.</w:t>
        <w:br w:type="textWrapping"/>
      </w:r>
    </w:p>
    <w:p w:rsidR="00000000" w:rsidDel="00000000" w:rsidP="00000000" w:rsidRDefault="00000000" w:rsidRPr="00000000" w14:paraId="00000033">
      <w:pPr>
        <w:spacing w:line="240" w:lineRule="auto"/>
        <w:rPr>
          <w:rFonts w:ascii="Garamond" w:cs="Garamond" w:eastAsia="Garamond" w:hAnsi="Garamond"/>
          <w:b w:val="1"/>
          <w:bCs w:val="1"/>
          <w:sz w:val="28"/>
          <w:szCs w:val="28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8"/>
          <w:szCs w:val="28"/>
          <w:rtl w:val="0"/>
        </w:rPr>
        <w:t xml:space="preserve">Research Objectives</w:t>
      </w:r>
    </w:p>
    <w:p w:rsidR="00000000" w:rsidDel="00000000" w:rsidP="00000000" w:rsidRDefault="00000000" w:rsidRPr="00000000" w14:paraId="00000034">
      <w:pPr>
        <w:spacing w:after="240" w:before="240" w:line="240" w:lineRule="auto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0"/>
          <w:szCs w:val="20"/>
          <w:rtl w:val="0"/>
        </w:rPr>
        <w:t xml:space="preserve">Problem:</w:t>
      </w: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 How can we generate synthetic tabular data that is simultaneously privacy-preserving, utility-retaining, and faithful to rare-event distributions?</w:t>
      </w:r>
    </w:p>
    <w:p w:rsidR="00000000" w:rsidDel="00000000" w:rsidP="00000000" w:rsidRDefault="00000000" w:rsidRPr="00000000" w14:paraId="00000035">
      <w:pPr>
        <w:spacing w:after="240" w:before="240" w:line="240" w:lineRule="auto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 To design a </w:t>
      </w:r>
      <w:r w:rsidDel="00000000" w:rsidR="00000000" w:rsidRPr="00000000">
        <w:rPr>
          <w:rFonts w:ascii="Garamond" w:cs="Garamond" w:eastAsia="Garamond" w:hAnsi="Garamond"/>
          <w:b w:val="1"/>
          <w:bCs w:val="1"/>
          <w:sz w:val="20"/>
          <w:szCs w:val="20"/>
          <w:rtl w:val="0"/>
        </w:rPr>
        <w:t xml:space="preserve">Differentially Private Diffusion Model (DP-DM)</w:t>
      </w: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 with a </w:t>
      </w:r>
      <w:r w:rsidDel="00000000" w:rsidR="00000000" w:rsidRPr="00000000">
        <w:rPr>
          <w:rFonts w:ascii="Garamond" w:cs="Garamond" w:eastAsia="Garamond" w:hAnsi="Garamond"/>
          <w:b w:val="1"/>
          <w:bCs w:val="1"/>
          <w:sz w:val="20"/>
          <w:szCs w:val="20"/>
          <w:rtl w:val="0"/>
        </w:rPr>
        <w:t xml:space="preserve">rare-event calibration mechanism</w:t>
      </w: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 and a </w:t>
      </w:r>
      <w:r w:rsidDel="00000000" w:rsidR="00000000" w:rsidRPr="00000000">
        <w:rPr>
          <w:rFonts w:ascii="Garamond" w:cs="Garamond" w:eastAsia="Garamond" w:hAnsi="Garamond"/>
          <w:b w:val="1"/>
          <w:bCs w:val="1"/>
          <w:sz w:val="20"/>
          <w:szCs w:val="20"/>
          <w:rtl w:val="0"/>
        </w:rPr>
        <w:t xml:space="preserve">comprehensive evaluation framework</w:t>
      </w:r>
      <w:r w:rsidDel="00000000" w:rsidR="00000000" w:rsidRPr="00000000">
        <w:rPr>
          <w:rFonts w:ascii="Gungsuh" w:cs="Gungsuh" w:eastAsia="Gungsuh" w:hAnsi="Gungsuh"/>
          <w:sz w:val="20"/>
          <w:szCs w:val="20"/>
          <w:rtl w:val="0"/>
        </w:rPr>
        <w:t xml:space="preserve">, ensuring ≤5% AUC drop at ε≈1 while improving minority-class recall by 10–20%.</w:t>
      </w:r>
    </w:p>
    <w:p w:rsidR="00000000" w:rsidDel="00000000" w:rsidP="00000000" w:rsidRDefault="00000000" w:rsidRPr="00000000" w14:paraId="00000036">
      <w:pPr>
        <w:spacing w:after="240" w:before="240" w:line="240" w:lineRule="auto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0"/>
          <w:szCs w:val="20"/>
          <w:rtl w:val="0"/>
        </w:rPr>
        <w:t xml:space="preserve">Category:</w:t>
      </w: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 This research is </w:t>
      </w:r>
      <w:r w:rsidDel="00000000" w:rsidR="00000000" w:rsidRPr="00000000">
        <w:rPr>
          <w:rFonts w:ascii="Garamond" w:cs="Garamond" w:eastAsia="Garamond" w:hAnsi="Garamond"/>
          <w:b w:val="1"/>
          <w:bCs w:val="1"/>
          <w:sz w:val="20"/>
          <w:szCs w:val="20"/>
          <w:rtl w:val="0"/>
        </w:rPr>
        <w:t xml:space="preserve">Applied, Explanatory, and Quantitative</w:t>
      </w: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. It is applied because it addresses real-world challenges in finance and healthcare, explanatory because it analyzes why rare-event fidelity fails in current DP models, and quantitative because it evaluates outcomes using measurable statistical metrics (AUC, PR-AUC, KS, MIA/PIA success rates).</w:t>
      </w:r>
    </w:p>
    <w:p w:rsidR="00000000" w:rsidDel="00000000" w:rsidP="00000000" w:rsidRDefault="00000000" w:rsidRPr="00000000" w14:paraId="00000037">
      <w:pPr>
        <w:spacing w:after="240" w:before="240" w:line="240" w:lineRule="auto"/>
        <w:rPr>
          <w:rFonts w:ascii="Garamond" w:cs="Garamond" w:eastAsia="Garamond" w:hAnsi="Garamond"/>
          <w:b w:val="1"/>
          <w:bCs w:val="1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0"/>
          <w:szCs w:val="20"/>
          <w:rtl w:val="0"/>
        </w:rPr>
        <w:t xml:space="preserve">Specific Objectives: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0" w:afterAutospacing="0" w:before="24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Develop a </w:t>
      </w:r>
      <w:r w:rsidDel="00000000" w:rsidR="00000000" w:rsidRPr="00000000">
        <w:rPr>
          <w:rFonts w:ascii="Garamond" w:cs="Garamond" w:eastAsia="Garamond" w:hAnsi="Garamond"/>
          <w:b w:val="1"/>
          <w:bCs w:val="1"/>
          <w:sz w:val="20"/>
          <w:szCs w:val="20"/>
          <w:rtl w:val="0"/>
        </w:rPr>
        <w:t xml:space="preserve">Differentially Private Diffusion Model</w:t>
      </w:r>
      <w:r w:rsidDel="00000000" w:rsidR="00000000" w:rsidRPr="00000000">
        <w:rPr>
          <w:rFonts w:ascii="Cardo" w:cs="Cardo" w:eastAsia="Cardo" w:hAnsi="Cardo"/>
          <w:sz w:val="20"/>
          <w:szCs w:val="20"/>
          <w:rtl w:val="0"/>
        </w:rPr>
        <w:t xml:space="preserve"> for tabular data with ε≈1–2.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Introduce a </w:t>
      </w:r>
      <w:r w:rsidDel="00000000" w:rsidR="00000000" w:rsidRPr="00000000">
        <w:rPr>
          <w:rFonts w:ascii="Garamond" w:cs="Garamond" w:eastAsia="Garamond" w:hAnsi="Garamond"/>
          <w:b w:val="1"/>
          <w:bCs w:val="1"/>
          <w:sz w:val="20"/>
          <w:szCs w:val="20"/>
          <w:rtl w:val="0"/>
        </w:rPr>
        <w:t xml:space="preserve">post-hoc rare-event calibration mechanism</w:t>
      </w: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 to preserve minority-class fidelity without consuming extra privacy budget.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Create a </w:t>
      </w:r>
      <w:r w:rsidDel="00000000" w:rsidR="00000000" w:rsidRPr="00000000">
        <w:rPr>
          <w:rFonts w:ascii="Garamond" w:cs="Garamond" w:eastAsia="Garamond" w:hAnsi="Garamond"/>
          <w:b w:val="1"/>
          <w:bCs w:val="1"/>
          <w:sz w:val="20"/>
          <w:szCs w:val="20"/>
          <w:rtl w:val="0"/>
        </w:rPr>
        <w:t xml:space="preserve">comprehensive evaluation framework</w:t>
      </w: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 covering fidelity (KS, Total Variation), utility (AUC, Precision–Recall AUC, recall@k), and privacy (DP accounting, MIAs, PIAs).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Benchmark performance against </w:t>
      </w:r>
      <w:r w:rsidDel="00000000" w:rsidR="00000000" w:rsidRPr="00000000">
        <w:rPr>
          <w:rFonts w:ascii="Garamond" w:cs="Garamond" w:eastAsia="Garamond" w:hAnsi="Garamond"/>
          <w:b w:val="1"/>
          <w:bCs w:val="1"/>
          <w:sz w:val="20"/>
          <w:szCs w:val="20"/>
          <w:rtl w:val="0"/>
        </w:rPr>
        <w:t xml:space="preserve">CTGAN (Conditional Tabular GAN)</w:t>
      </w: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Garamond" w:cs="Garamond" w:eastAsia="Garamond" w:hAnsi="Garamond"/>
          <w:b w:val="1"/>
          <w:bCs w:val="1"/>
          <w:sz w:val="20"/>
          <w:szCs w:val="20"/>
          <w:rtl w:val="0"/>
        </w:rPr>
        <w:t xml:space="preserve">TVAE (Tabular Variational Autoencoder)</w:t>
      </w: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, non-private diffusion, and existing DP synthesizers across multiple datasets.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after="24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Quantify trade-offs between fidelity, privacy, and utility under varying ε values.</w:t>
      </w:r>
    </w:p>
    <w:sectPr>
      <w:headerReference r:id="rId6" w:type="default"/>
      <w:headerReference r:id="rId7" w:type="first"/>
      <w:footerReference r:id="rId8" w:type="default"/>
      <w:footerReference r:id="rId9" w:type="first"/>
      <w:pgSz w:h="15840" w:w="12240" w:orient="portrait"/>
      <w:pgMar w:bottom="1440" w:top="1440" w:left="1440" w:right="1440" w:header="431.99999999999994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ungsuh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  <w:font w:name="Garamond">
    <w:embedRegular w:fontKey="{00000000-0000-0000-0000-000000000000}" r:id="rId4" w:subsetted="0"/>
    <w:embedBold w:fontKey="{00000000-0000-0000-0000-000000000000}" r:id="rId5" w:subsetted="0"/>
    <w:embedItalic w:fontKey="{00000000-0000-0000-0000-000000000000}" r:id="rId6" w:subsetted="0"/>
    <w:embedBoldItalic w:fontKey="{00000000-0000-0000-0000-000000000000}" r:id="rId7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D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0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E">
    <w:pPr>
      <w:jc w:val="right"/>
      <w:rPr/>
    </w:pPr>
    <w:r w:rsidDel="00000000" w:rsidR="00000000" w:rsidRPr="00000000">
      <w:rPr>
        <w:rtl w:val="0"/>
      </w:rPr>
      <w:t xml:space="preserve">202203103510201                                                                                                                         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F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Garamond" w:cs="Garamond" w:eastAsia="Garamond" w:hAnsi="Garamond"/>
        <w:b w:val="0"/>
        <w:bCs w:val="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480" w:line="240" w:lineRule="auto"/>
    </w:pPr>
    <w:rPr>
      <w:rFonts w:ascii="Garamond" w:cs="Garamond" w:eastAsia="Garamond" w:hAnsi="Garamond"/>
      <w:b w:val="1"/>
      <w:bCs w:val="1"/>
      <w:sz w:val="28"/>
      <w:szCs w:val="28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Relationship Id="rId4" Type="http://schemas.openxmlformats.org/officeDocument/2006/relationships/font" Target="fonts/Garamond-regular.ttf"/><Relationship Id="rId5" Type="http://schemas.openxmlformats.org/officeDocument/2006/relationships/font" Target="fonts/Garamond-bold.ttf"/><Relationship Id="rId6" Type="http://schemas.openxmlformats.org/officeDocument/2006/relationships/font" Target="fonts/Garamond-italic.ttf"/><Relationship Id="rId7" Type="http://schemas.openxmlformats.org/officeDocument/2006/relationships/font" Target="fonts/Garamond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