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before="480" w:line="240" w:lineRule="auto"/>
        <w:rPr/>
      </w:pPr>
      <w:bookmarkStart w:colFirst="0" w:colLast="0" w:name="_y53erwon0i28" w:id="0"/>
      <w:bookmarkEnd w:id="0"/>
      <w:r w:rsidDel="00000000" w:rsidR="00000000" w:rsidRPr="00000000">
        <w:rPr>
          <w:rtl w:val="0"/>
        </w:rPr>
        <w:t xml:space="preserve">Proposed Title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“Synthetic Tabular Data Generation at the Intersection of Privacy, Fidelity, and Rare Events: A Diffusion-Based Approach”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40" w:lineRule="auto"/>
        <w:rPr>
          <w:rFonts w:ascii="Garamond" w:cs="Garamond" w:eastAsia="Garamond" w:hAnsi="Garamond"/>
          <w:b w:val="1"/>
          <w:bCs w:val="1"/>
          <w:sz w:val="28"/>
          <w:szCs w:val="28"/>
        </w:rPr>
      </w:pPr>
      <w:bookmarkStart w:colFirst="0" w:colLast="0" w:name="_krlcxrkhvqga" w:id="1"/>
      <w:bookmarkEnd w:id="1"/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40" w:lineRule="auto"/>
        <w:rPr>
          <w:rFonts w:ascii="Garamond" w:cs="Garamond" w:eastAsia="Garamond" w:hAnsi="Garamond"/>
          <w:sz w:val="20"/>
          <w:szCs w:val="20"/>
        </w:rPr>
      </w:pPr>
      <w:bookmarkStart w:colFirst="0" w:colLast="0" w:name="_uel98pmk498k" w:id="2"/>
      <w:bookmarkEnd w:id="2"/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In finance, healthcare, and other sensitive domains, data is both the most valuable asset and the most restricted resource. Regulations such as the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General Data Protection Regulation (GDPR)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and India’s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Digital Personal Data Protection (DPDP) Act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make direct data sharing difficult. At the same time, innovation in fraud detection, credit scoring, and patient care requires access to large-scale datasets.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Synthetic tabular data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has emerged as a promising solution because it creates artificial data that statistically resembles real datasets without directly exposing individual records. However, no existing method successfully meets the following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three critical requirements simultaneously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Utility</w:t>
      </w: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— downstream machine learning models trained on synthetic data should perform almost as well as those trained on real data (ideally, ≤5% drop in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Area Under the Curve (AUC)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Privacy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— synthetic data must come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formal guarantees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such as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Differential Privacy (DP)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with ε≈1–2, while also resisting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Membership Inference Attacks (MIA)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Property Inference Attacks (PIA)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Rare-event fidelity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— rare but important patterns, such as fraudulent transactions (&lt;1% prevalence) or extreme quantiles in healthcare data, must be preserved rather than washed out by generative models.</w:t>
        <w:br w:type="textWrapping"/>
        <w:t xml:space="preserve">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40" w:lineRule="auto"/>
        <w:rPr>
          <w:rFonts w:ascii="Garamond" w:cs="Garamond" w:eastAsia="Garamond" w:hAnsi="Garamond"/>
          <w:b w:val="1"/>
          <w:bCs w:val="1"/>
          <w:sz w:val="28"/>
          <w:szCs w:val="28"/>
        </w:rPr>
      </w:pPr>
      <w:bookmarkStart w:colFirst="0" w:colLast="0" w:name="_646t88s5tixf" w:id="3"/>
      <w:bookmarkEnd w:id="3"/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Related Work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Generative Adversarial Networks (GANs)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were the first widely used approach but suffered from instability and mode collapse, often missing rare classes. AUC losses of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10–20%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compared to real data are typical.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Variational Autoencoders (VAEs)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offered more stable training, but their outputs were blurry and lacked sharp distributional fidelity, leading to an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8–15% AUC drop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Diffusion Models (DMs)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introduced greater stability and fidelity,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30–40% lower KS distances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compared to GANs and typically within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≤10% AUC drop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of real data. However, they remain computationally expensive.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Differential Privacy (DP)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has been applied using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Differentially Private Stochastic Gradient Descent (DP-SGD)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. At ε≈1–2, DP diffusion models retained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≤10% AUC drop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but stricter ε&lt;1 budgets caused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10–20% drops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 Moreover, studies show that low utility does not guarantee privacy; MIAs and PIAs can still succeed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AUC 0.65–0.75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Large Language Models (LLMs)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when applied to tabular data by serializing rows into natural language, achieved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3–8% AUC gains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in few-shot settings compared to traditional baselines such as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Extreme Gradient Boosting (XGBoost)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 However, they remain computationally costly and are unsuitable for large-scale data generation.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Unified Diffusion–Transformer Models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improved high-dimensional synthesis and imputation, reducing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Root Mean Square Error (RMSE) by 10–20%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but lacked formal DP integration.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Evaluation studies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consistently conclude that there is no universal best model: high fidelity does not guarantee privacy, and strong privacy budgets degrade utility. Rare-event fidelity and systematic adversarial testing remain largely unexplored.</w:t>
        <w:br w:type="textWrapping"/>
      </w:r>
    </w:p>
    <w:p w:rsidR="00000000" w:rsidDel="00000000" w:rsidP="00000000" w:rsidRDefault="00000000" w:rsidRPr="00000000" w14:paraId="00000011">
      <w:pPr>
        <w:spacing w:line="240" w:lineRule="auto"/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Research Objectives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Problem: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How can we generate synthetic tabular data that is simultaneously privacy-preserving, utility-retaining, and faithful to rare-event distributions?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To design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Differentially Private Diffusion Model (DP-DM)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with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rare-event calibration mechanism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and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comprehensive evaluation framework</w:t>
      </w: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, ensuring ≤5% AUC drop at ε≈1 while improving minority-class recall by 10–20%.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Category: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This research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Applied, Explanatory, and Quantitative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 It is applied because it addresses real-world challenges in finance and healthcare, explanatory because it analyzes why rare-event fidelity fails in current DP models, and quantitative because it evaluates outcomes using measurable statistical metrics (AUC, PR-AUC, KS, MIA/PIA success rates).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Specific Objectives: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Develop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Differentially Private Diffusion Model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for tabular data with ε≈1–2.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Introduce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post-hoc rare-event calibration mechanism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to preserve minority-class fidelity without consuming extra privacy budget.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Create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comprehensive evaluation framework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covering fidelity (KS, Total Variation), utility (AUC, Precision–Recall AUC, recall@k), and privacy (DP accounting, MIAs, PIAs).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Benchmark performance against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CTGAN (Conditional Tabular GAN)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TVAE (Tabular Variational Autoencoder)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non-private diffusion, and existing DP synthesizers across multiple datasets.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Quantify trade-offs between fidelity, privacy, and utility under varying ε values.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431.9999999999999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Garamond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right"/>
      <w:rPr/>
    </w:pPr>
    <w:r w:rsidDel="00000000" w:rsidR="00000000" w:rsidRPr="00000000">
      <w:rPr>
        <w:rtl w:val="0"/>
      </w:rPr>
      <w:t xml:space="preserve">202203103510201                                                                                                    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aramond" w:cs="Garamond" w:eastAsia="Garamond" w:hAnsi="Garamond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480" w:line="240" w:lineRule="auto"/>
    </w:pPr>
    <w:rPr>
      <w:rFonts w:ascii="Garamond" w:cs="Garamond" w:eastAsia="Garamond" w:hAnsi="Garamond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Garamond-regular.ttf"/><Relationship Id="rId5" Type="http://schemas.openxmlformats.org/officeDocument/2006/relationships/font" Target="fonts/Garamond-bold.ttf"/><Relationship Id="rId6" Type="http://schemas.openxmlformats.org/officeDocument/2006/relationships/font" Target="fonts/Garamond-italic.ttf"/><Relationship Id="rId7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