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1F4E79"/>
          <w:sz w:val="56"/>
          <w:szCs w:val="56"/>
        </w:rPr>
        <w:t xml:space="preserve">PROJECT FORESIGHT</w:t>
      </w:r>
    </w:p>
    <w:p>
      <w:pPr>
        <w:spacing w:after="100" w:before="200"/>
        <w:jc w:val="center"/>
      </w:pPr>
      <w:r>
        <w:rPr>
          <w:color w:val="444444"/>
          <w:sz w:val="30"/>
          <w:szCs w:val="30"/>
        </w:rPr>
        <w:t xml:space="preserve">AI-Powered Demand &amp; Inventory Intelligence Platform</w:t>
      </w:r>
    </w:p>
    <w:p>
      <w:pPr>
        <w:spacing w:after="100" w:before="100"/>
        <w:jc w:val="center"/>
      </w:pPr>
      <w:r>
        <w:rPr>
          <w:i/>
          <w:iCs/>
          <w:color w:val="666666"/>
          <w:sz w:val="24"/>
          <w:szCs w:val="24"/>
        </w:rPr>
        <w:t xml:space="preserve">(RetailPulse Analytics)</w:t>
      </w:r>
    </w:p>
    <w:p>
      <w:pPr>
        <w:spacing w:before="800"/>
        <w:jc w:val="center"/>
      </w:pPr>
      <w:r>
        <w:rPr>
          <w:b/>
          <w:bCs/>
          <w:sz w:val="26"/>
          <w:szCs w:val="26"/>
        </w:rPr>
        <w:t xml:space="preserve">Project Report</w:t>
      </w:r>
    </w:p>
    <w:p>
      <w:pPr>
        <w:spacing w:before="400"/>
        <w:jc w:val="center"/>
      </w:pPr>
      <w:r>
        <w:rPr>
          <w:sz w:val="22"/>
          <w:szCs w:val="22"/>
        </w:rPr>
        <w:t xml:space="preserve">Data Science &amp; Analytics — 1-Month Project</w:t>
      </w:r>
    </w:p>
    <w:p>
      <w:pPr>
        <w:spacing w:before="100"/>
        <w:jc w:val="center"/>
      </w:pPr>
      <w:r>
        <w:rPr>
          <w:sz w:val="22"/>
          <w:szCs w:val="22"/>
        </w:rPr>
        <w:t xml:space="preserve">Duration: 25 June 2026 – 25 July 2026</w:t>
      </w:r>
    </w:p>
    <w:p>
      <w:pPr>
        <w:spacing w:before="1200"/>
        <w:jc w:val="center"/>
      </w:pPr>
      <w:r>
        <w:rPr>
          <w:b/>
          <w:bCs/>
          <w:color w:val="1F4E79"/>
          <w:sz w:val="22"/>
          <w:szCs w:val="22"/>
        </w:rPr>
        <w:t xml:space="preserve">Zidio</w:t>
      </w:r>
    </w:p>
    <w:p>
      <w:r>
        <w:br w:type="page"/>
      </w:r>
    </w:p>
    <w:p>
      <w:pPr>
        <w:sectPr>
          <w:pgSz w:w="12240" w:h="15840" w:orient="portrait"/>
          <w:pgMar w:top="1440" w:right="1440" w:bottom="1440" w:left="1440" w:header="708" w:footer="708" w:gutter="0"/>
          <w:pgNumType/>
          <w:docGrid w:linePitch="360"/>
        </w:sectPr>
      </w:pPr>
    </w:p>
    <w:p>
      <w:pPr>
        <w:pStyle w:val="Heading1"/>
        <w:spacing w:after="160" w:before="360"/>
      </w:pPr>
      <w:r>
        <w:t xml:space="preserve">1. Executive Summary</w:t>
      </w:r>
    </w:p>
    <w:p>
      <w:pPr>
        <w:spacing w:after="160"/>
      </w:pPr>
      <w:r>
        <w:t xml:space="preserve">Project FORESIGHT (internally built as "RetailPulse") is an end-to-end, AI-powered demand forecasting and inventory intelligence platform for retail businesses. It combines data engineering, machine learning, and business intelligence into a single analytics system that helps retailers reduce stockouts, cut excess inventory, and understand customer behaviour.</w:t>
      </w:r>
    </w:p>
    <w:p>
      <w:pPr>
        <w:spacing w:after="160"/>
      </w:pPr>
      <w:r>
        <w:t xml:space="preserve">Over the course of the project, raw transactional and customer data was cleaned and unified into a master dataset, from which forecasting models, a customer segmentation engine, a churn predictor, and an inventory optimization engine were built. The results were delivered through both a 12-page Power BI executive dashboard and an interactive multi-page Streamlit web application, backed by a production-style MLOps setup (MLflow tracking, drift monitoring, containerization, and CI/CD).</w:t>
      </w:r>
    </w:p>
    <w:p>
      <w:pPr>
        <w:spacing w:after="160"/>
      </w:pPr>
      <w:r>
        <w:t xml:space="preserve">Final validation shows the platform met all target KPIs: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4500"/>
        <w:gridCol w:w="2800"/>
        <w:gridCol w:w="2000"/>
      </w:tblGrid>
      <w:tr>
        <w:trPr>
          <w:tblHeader/>
        </w:trPr>
        <w:tc>
          <w:tcPr>
            <w:tcW w:type="dxa" w:w="4500"/>
            <w:shd w:fill="1F4E79" w:color="auto" w:val="clear"/>
          </w:tcPr>
          <w:p>
            <w:r>
              <w:rPr>
                <w:b/>
                <w:bCs/>
                <w:color w:val="FFFFFF"/>
                <w:sz w:val="20"/>
                <w:szCs w:val="20"/>
              </w:rPr>
              <w:t xml:space="preserve">Metric</w:t>
            </w:r>
          </w:p>
        </w:tc>
        <w:tc>
          <w:tcPr>
            <w:tcW w:type="dxa" w:w="2800"/>
            <w:shd w:fill="1F4E79" w:color="auto" w:val="clear"/>
          </w:tcPr>
          <w:p>
            <w:r>
              <w:rPr>
                <w:b/>
                <w:bCs/>
                <w:color w:val="FFFFFF"/>
                <w:sz w:val="20"/>
                <w:szCs w:val="20"/>
              </w:rPr>
              <w:t xml:space="preserve">Result</w:t>
            </w:r>
          </w:p>
        </w:tc>
        <w:tc>
          <w:tcPr>
            <w:tcW w:type="dxa" w:w="2000"/>
            <w:shd w:fill="1F4E79" w:color="auto" w:val="clear"/>
          </w:tcPr>
          <w:p>
            <w:r>
              <w:rPr>
                <w:b/>
                <w:bCs/>
                <w:color w:val="FFFFFF"/>
                <w:sz w:val="20"/>
                <w:szCs w:val="20"/>
              </w:rPr>
              <w:t xml:space="preserve">Status</w:t>
            </w:r>
          </w:p>
        </w:tc>
      </w:tr>
      <w:tr>
        <w:tc>
          <w:tcPr>
            <w:tcW w:type="dxa" w:w="4500"/>
          </w:tcPr>
          <w:p>
            <w:r>
              <w:rPr>
                <w:sz w:val="20"/>
                <w:szCs w:val="20"/>
              </w:rPr>
              <w:t xml:space="preserve">Demand forecast accuracy (MAPE)</w:t>
            </w:r>
          </w:p>
        </w:tc>
        <w:tc>
          <w:tcPr>
            <w:tcW w:type="dxa" w:w="2800"/>
          </w:tcPr>
          <w:p>
            <w:r>
              <w:rPr>
                <w:sz w:val="20"/>
                <w:szCs w:val="20"/>
              </w:rPr>
              <w:t xml:space="preserve">10.4%</w:t>
            </w:r>
          </w:p>
        </w:tc>
        <w:tc>
          <w:tcPr>
            <w:tcW w:type="dxa" w:w="2000"/>
          </w:tcPr>
          <w:p>
            <w:r>
              <w:rPr>
                <w:sz w:val="20"/>
                <w:szCs w:val="20"/>
              </w:rPr>
              <w:t xml:space="preserve">✅ Target met</w:t>
            </w:r>
          </w:p>
        </w:tc>
      </w:tr>
      <w:tr>
        <w:tc>
          <w:tcPr>
            <w:tcW w:type="dxa" w:w="4500"/>
          </w:tcPr>
          <w:p>
            <w:r>
              <w:rPr>
                <w:sz w:val="20"/>
                <w:szCs w:val="20"/>
              </w:rPr>
              <w:t xml:space="preserve">Customer churn model (AUC)</w:t>
            </w:r>
          </w:p>
        </w:tc>
        <w:tc>
          <w:tcPr>
            <w:tcW w:type="dxa" w:w="2800"/>
          </w:tcPr>
          <w:p>
            <w:r>
              <w:rPr>
                <w:sz w:val="20"/>
                <w:szCs w:val="20"/>
              </w:rPr>
              <w:t xml:space="preserve">0.928</w:t>
            </w:r>
          </w:p>
        </w:tc>
        <w:tc>
          <w:tcPr>
            <w:tcW w:type="dxa" w:w="2000"/>
          </w:tcPr>
          <w:p>
            <w:r>
              <w:rPr>
                <w:sz w:val="20"/>
                <w:szCs w:val="20"/>
              </w:rPr>
              <w:t xml:space="preserve">✅ Target met</w:t>
            </w:r>
          </w:p>
        </w:tc>
      </w:tr>
      <w:tr>
        <w:tc>
          <w:tcPr>
            <w:tcW w:type="dxa" w:w="4500"/>
          </w:tcPr>
          <w:p>
            <w:r>
              <w:rPr>
                <w:sz w:val="20"/>
                <w:szCs w:val="20"/>
              </w:rPr>
              <w:t xml:space="preserve">Projected stockout reduction</w:t>
            </w:r>
          </w:p>
        </w:tc>
        <w:tc>
          <w:tcPr>
            <w:tcW w:type="dxa" w:w="2800"/>
          </w:tcPr>
          <w:p>
            <w:r>
              <w:rPr>
                <w:sz w:val="20"/>
                <w:szCs w:val="20"/>
              </w:rPr>
              <w:t xml:space="preserve">32%</w:t>
            </w:r>
          </w:p>
        </w:tc>
        <w:tc>
          <w:tcPr>
            <w:tcW w:type="dxa" w:w="2000"/>
          </w:tcPr>
          <w:p>
            <w:r>
              <w:rPr>
                <w:sz w:val="20"/>
                <w:szCs w:val="20"/>
              </w:rPr>
              <w:t xml:space="preserve">✅ Target met</w:t>
            </w:r>
          </w:p>
        </w:tc>
      </w:tr>
      <w:tr>
        <w:tc>
          <w:tcPr>
            <w:tcW w:type="dxa" w:w="4500"/>
          </w:tcPr>
          <w:p>
            <w:r>
              <w:rPr>
                <w:sz w:val="20"/>
                <w:szCs w:val="20"/>
              </w:rPr>
              <w:t xml:space="preserve">Load test (100 concurrent users)</w:t>
            </w:r>
          </w:p>
        </w:tc>
        <w:tc>
          <w:tcPr>
            <w:tcW w:type="dxa" w:w="2800"/>
          </w:tcPr>
          <w:p>
            <w:r>
              <w:rPr>
                <w:sz w:val="20"/>
                <w:szCs w:val="20"/>
              </w:rPr>
              <w:t xml:space="preserve">p95 = 3.4s, 0 errors</w:t>
            </w:r>
          </w:p>
        </w:tc>
        <w:tc>
          <w:tcPr>
            <w:tcW w:type="dxa" w:w="2000"/>
          </w:tcPr>
          <w:p>
            <w:r>
              <w:rPr>
                <w:sz w:val="20"/>
                <w:szCs w:val="20"/>
              </w:rPr>
              <w:t xml:space="preserve">✅ Stable</w:t>
            </w:r>
          </w:p>
        </w:tc>
      </w:tr>
      <w:tr>
        <w:tc>
          <w:tcPr>
            <w:tcW w:type="dxa" w:w="4500"/>
          </w:tcPr>
          <w:p>
            <w:r>
              <w:rPr>
                <w:sz w:val="20"/>
                <w:szCs w:val="20"/>
              </w:rPr>
              <w:t xml:space="preserve">Data drift (production monitoring)</w:t>
            </w:r>
          </w:p>
        </w:tc>
        <w:tc>
          <w:tcPr>
            <w:tcW w:type="dxa" w:w="2800"/>
          </w:tcPr>
          <w:p>
            <w:r>
              <w:rPr>
                <w:sz w:val="20"/>
                <w:szCs w:val="20"/>
              </w:rPr>
              <w:t xml:space="preserve">0.0% share, no alert</w:t>
            </w:r>
          </w:p>
        </w:tc>
        <w:tc>
          <w:tcPr>
            <w:tcW w:type="dxa" w:w="2000"/>
          </w:tcPr>
          <w:p>
            <w:r>
              <w:rPr>
                <w:sz w:val="20"/>
                <w:szCs w:val="20"/>
              </w:rPr>
              <w:t xml:space="preserve">✅ Healthy</w:t>
            </w:r>
          </w:p>
        </w:tc>
      </w:tr>
    </w:tbl>
    <w:p>
      <w:pPr>
        <w:pStyle w:val="Heading1"/>
        <w:spacing w:after="160" w:before="360"/>
      </w:pPr>
      <w:r>
        <w:t xml:space="preserve">2. Problem Statement &amp; Objectives</w:t>
      </w:r>
    </w:p>
    <w:p>
      <w:pPr>
        <w:spacing w:after="160"/>
      </w:pPr>
      <w:r>
        <w:t xml:space="preserve">Retail businesses routinely struggle to balance two competing costs: overstocking (tied-up capital, storage cost, markdowns) and understocking (lost sales, poor customer experience). Most small and mid-sized retailers rely on manual, rule-of-thumb reorder planning rather than data-driven forecasting.</w:t>
      </w:r>
    </w:p>
    <w:p>
      <w:pPr>
        <w:spacing w:after="160"/>
      </w:pPr>
      <w:r>
        <w:t xml:space="preserve">Project FORESIGHT was scoped to address this gap by delivering:</w:t>
      </w:r>
    </w:p>
    <w:p>
      <w:pPr>
        <w:pStyle w:val="ListParagraph"/>
        <w:numPr>
          <w:ilvl w:val="0"/>
          <w:numId w:val="1"/>
        </w:numPr>
        <w:spacing w:after="80"/>
      </w:pPr>
      <w:r>
        <w:t xml:space="preserve">SKU-level demand forecasting to anticipate future sales volume.</w:t>
      </w:r>
    </w:p>
    <w:p>
      <w:pPr>
        <w:pStyle w:val="ListParagraph"/>
        <w:numPr>
          <w:ilvl w:val="0"/>
          <w:numId w:val="1"/>
        </w:numPr>
        <w:spacing w:after="80"/>
      </w:pPr>
      <w:r>
        <w:t xml:space="preserve">Automated stockout and overstock risk detection at the SKU level.</w:t>
      </w:r>
    </w:p>
    <w:p>
      <w:pPr>
        <w:pStyle w:val="ListParagraph"/>
        <w:numPr>
          <w:ilvl w:val="0"/>
          <w:numId w:val="1"/>
        </w:numPr>
        <w:spacing w:after="80"/>
      </w:pPr>
      <w:r>
        <w:t xml:space="preserve">Actionable inventory recommendations (reorder point, safety stock, economic order quantity).</w:t>
      </w:r>
    </w:p>
    <w:p>
      <w:pPr>
        <w:pStyle w:val="ListParagraph"/>
        <w:numPr>
          <w:ilvl w:val="0"/>
          <w:numId w:val="1"/>
        </w:numPr>
        <w:spacing w:after="80"/>
      </w:pPr>
      <w:r>
        <w:t xml:space="preserve">Customer segmentation and churn-risk scoring to support targeted retention.</w:t>
      </w:r>
    </w:p>
    <w:p>
      <w:pPr>
        <w:pStyle w:val="ListParagraph"/>
        <w:numPr>
          <w:ilvl w:val="0"/>
          <w:numId w:val="1"/>
        </w:numPr>
        <w:spacing w:after="80"/>
      </w:pPr>
      <w:r>
        <w:t xml:space="preserve">An interactive analytics dashboard for business stakeholders to explore all of the above without needing to read code or notebooks.</w:t>
      </w:r>
    </w:p>
    <w:p>
      <w:pPr>
        <w:pStyle w:val="Heading1"/>
        <w:spacing w:after="160" w:before="360"/>
      </w:pPr>
      <w:r>
        <w:t xml:space="preserve">3. Data</w:t>
      </w:r>
    </w:p>
    <w:p>
      <w:pPr>
        <w:spacing w:after="160"/>
      </w:pPr>
      <w:r>
        <w:t xml:space="preserve">The platform is built on the UCI "Online Retail II" transactional dataset, enriched with synthetic supporting tables (customer master, product master, inventory ledger, churn labels) to simulate a realistic retail data warehouse.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00"/>
      </w:tblGrid>
      <w:tr>
        <w:trPr>
          <w:tblHeader/>
        </w:trPr>
        <w:tc>
          <w:tcPr>
            <w:tcW w:type="dxa" w:w="3200"/>
            <w:shd w:fill="1F4E79" w:color="auto" w:val="clear"/>
          </w:tcPr>
          <w:p>
            <w:r>
              <w:rPr>
                <w:b/>
                <w:bCs/>
                <w:color w:val="FFFFFF"/>
                <w:sz w:val="20"/>
                <w:szCs w:val="20"/>
              </w:rPr>
              <w:t xml:space="preserve">Dataset</w:t>
            </w:r>
          </w:p>
        </w:tc>
        <w:tc>
          <w:tcPr>
            <w:tcW w:type="dxa" w:w="1400"/>
            <w:shd w:fill="1F4E79" w:color="auto" w:val="clear"/>
          </w:tcPr>
          <w:p>
            <w:r>
              <w:rPr>
                <w:b/>
                <w:bCs/>
                <w:color w:val="FFFFFF"/>
                <w:sz w:val="20"/>
                <w:szCs w:val="20"/>
              </w:rPr>
              <w:t xml:space="preserve">Rows</w:t>
            </w:r>
          </w:p>
        </w:tc>
        <w:tc>
          <w:tcPr>
            <w:tcW w:type="dxa" w:w="4700"/>
            <w:shd w:fill="1F4E79" w:color="auto" w:val="clear"/>
          </w:tcPr>
          <w:p>
            <w:r>
              <w:rPr>
                <w:b/>
                <w:bCs/>
                <w:color w:val="FFFFFF"/>
                <w:sz w:val="20"/>
                <w:szCs w:val="20"/>
              </w:rPr>
              <w:t xml:space="preserve">Description</w:t>
            </w:r>
          </w:p>
        </w:tc>
      </w:tr>
      <w:tr>
        <w:tc>
          <w:tcPr>
            <w:tcW w:type="dxa" w:w="3200"/>
          </w:tcPr>
          <w:p>
            <w:r>
              <w:rPr>
                <w:sz w:val="20"/>
                <w:szCs w:val="20"/>
              </w:rPr>
              <w:t xml:space="preserve">sales_transactions.csv</w:t>
            </w:r>
          </w:p>
        </w:tc>
        <w:tc>
          <w:tcPr>
            <w:tcW w:type="dxa" w:w="1400"/>
          </w:tcPr>
          <w:p>
            <w:r>
              <w:rPr>
                <w:sz w:val="20"/>
                <w:szCs w:val="20"/>
              </w:rPr>
              <w:t xml:space="preserve">357,646</w:t>
            </w:r>
          </w:p>
        </w:tc>
        <w:tc>
          <w:tcPr>
            <w:tcW w:type="dxa" w:w="4700"/>
          </w:tcPr>
          <w:p>
            <w:r>
              <w:rPr>
                <w:sz w:val="20"/>
                <w:szCs w:val="20"/>
              </w:rPr>
              <w:t xml:space="preserve">Raw invoice-line transactions (UK &amp; international)</w:t>
            </w:r>
          </w:p>
        </w:tc>
      </w:tr>
      <w:tr>
        <w:tc>
          <w:tcPr>
            <w:tcW w:type="dxa" w:w="3200"/>
          </w:tcPr>
          <w:p>
            <w:r>
              <w:rPr>
                <w:sz w:val="20"/>
                <w:szCs w:val="20"/>
              </w:rPr>
              <w:t xml:space="preserve">customers_master.csv</w:t>
            </w:r>
          </w:p>
        </w:tc>
        <w:tc>
          <w:tcPr>
            <w:tcW w:type="dxa" w:w="1400"/>
          </w:tcPr>
          <w:p>
            <w:r>
              <w:rPr>
                <w:sz w:val="20"/>
                <w:szCs w:val="20"/>
              </w:rPr>
              <w:t xml:space="preserve">8,000</w:t>
            </w:r>
          </w:p>
        </w:tc>
        <w:tc>
          <w:tcPr>
            <w:tcW w:type="dxa" w:w="4700"/>
          </w:tcPr>
          <w:p>
            <w:r>
              <w:rPr>
                <w:sz w:val="20"/>
                <w:szCs w:val="20"/>
              </w:rPr>
              <w:t xml:space="preserve">Customer demographics, loyalty tier, signup date</w:t>
            </w:r>
          </w:p>
        </w:tc>
      </w:tr>
      <w:tr>
        <w:tc>
          <w:tcPr>
            <w:tcW w:type="dxa" w:w="3200"/>
          </w:tcPr>
          <w:p>
            <w:r>
              <w:rPr>
                <w:sz w:val="20"/>
                <w:szCs w:val="20"/>
              </w:rPr>
              <w:t xml:space="preserve">products_master.csv</w:t>
            </w:r>
          </w:p>
        </w:tc>
        <w:tc>
          <w:tcPr>
            <w:tcW w:type="dxa" w:w="1400"/>
          </w:tcPr>
          <w:p>
            <w:r>
              <w:rPr>
                <w:sz w:val="20"/>
                <w:szCs w:val="20"/>
              </w:rPr>
              <w:t xml:space="preserve">150</w:t>
            </w:r>
          </w:p>
        </w:tc>
        <w:tc>
          <w:tcPr>
            <w:tcW w:type="dxa" w:w="4700"/>
          </w:tcPr>
          <w:p>
            <w:r>
              <w:rPr>
                <w:sz w:val="20"/>
                <w:szCs w:val="20"/>
              </w:rPr>
              <w:t xml:space="preserve">SKU catalogue with category and supplier</w:t>
            </w:r>
          </w:p>
        </w:tc>
      </w:tr>
      <w:tr>
        <w:tc>
          <w:tcPr>
            <w:tcW w:type="dxa" w:w="3200"/>
          </w:tcPr>
          <w:p>
            <w:r>
              <w:rPr>
                <w:sz w:val="20"/>
                <w:szCs w:val="20"/>
              </w:rPr>
              <w:t xml:space="preserve">inventory_daily.csv</w:t>
            </w:r>
          </w:p>
        </w:tc>
        <w:tc>
          <w:tcPr>
            <w:tcW w:type="dxa" w:w="1400"/>
          </w:tcPr>
          <w:p>
            <w:r>
              <w:rPr>
                <w:sz w:val="20"/>
                <w:szCs w:val="20"/>
              </w:rPr>
              <w:t xml:space="preserve">—</w:t>
            </w:r>
          </w:p>
        </w:tc>
        <w:tc>
          <w:tcPr>
            <w:tcW w:type="dxa" w:w="4700"/>
          </w:tcPr>
          <w:p>
            <w:r>
              <w:rPr>
                <w:sz w:val="20"/>
                <w:szCs w:val="20"/>
              </w:rPr>
              <w:t xml:space="preserve">Daily stock levels, lead times, on-order quantities</w:t>
            </w:r>
          </w:p>
        </w:tc>
      </w:tr>
      <w:tr>
        <w:tc>
          <w:tcPr>
            <w:tcW w:type="dxa" w:w="3200"/>
          </w:tcPr>
          <w:p>
            <w:r>
              <w:rPr>
                <w:sz w:val="20"/>
                <w:szCs w:val="20"/>
              </w:rPr>
              <w:t xml:space="preserve">master_dataset.csv</w:t>
            </w:r>
          </w:p>
        </w:tc>
        <w:tc>
          <w:tcPr>
            <w:tcW w:type="dxa" w:w="1400"/>
          </w:tcPr>
          <w:p>
            <w:r>
              <w:rPr>
                <w:sz w:val="20"/>
                <w:szCs w:val="20"/>
              </w:rPr>
              <w:t xml:space="preserve">357,646</w:t>
            </w:r>
          </w:p>
        </w:tc>
        <w:tc>
          <w:tcPr>
            <w:tcW w:type="dxa" w:w="4700"/>
          </w:tcPr>
          <w:p>
            <w:r>
              <w:rPr>
                <w:sz w:val="20"/>
                <w:szCs w:val="20"/>
              </w:rPr>
              <w:t xml:space="preserve">Cleaned, joined analytical base table</w:t>
            </w:r>
          </w:p>
        </w:tc>
      </w:tr>
    </w:tbl>
    <w:p>
      <w:pPr>
        <w:spacing w:after="160"/>
      </w:pPr>
      <w:r>
        <w:rPr>
          <w:i/>
          <w:iCs/>
          <w:sz w:val="19"/>
          <w:szCs w:val="19"/>
        </w:rPr>
        <w:t xml:space="preserve">Key fields in the master dataset include Invoice, InvoiceDate, CustomerID, StockCode, Description, Category, Quantity, UnitPrice, Country, Channel, TotalPrice, UnitCost, LeadTimeDays, Supplier, AgeGroup, Gender, LoyaltyTier, SignupDate, CustomerType and Profit — giving each transaction both a sales and a customer-attribute view.</w:t>
      </w:r>
    </w:p>
    <w:p>
      <w:pPr>
        <w:pStyle w:val="Heading1"/>
        <w:spacing w:after="160" w:before="360"/>
      </w:pPr>
      <w:r>
        <w:t xml:space="preserve">4. Methodology / Workflow</w:t>
      </w:r>
    </w:p>
    <w:p>
      <w:pPr>
        <w:spacing w:after="160"/>
      </w:pPr>
      <w:r>
        <w:t xml:space="preserve">The project followed a structured, day-by-day build plan (documented in 27 sequential Jupyter notebooks) mirroring a real analytics engineering workflow:</w:t>
      </w:r>
    </w:p>
    <w:p>
      <w:pPr>
        <w:pStyle w:val="ListParagraph"/>
        <w:numPr>
          <w:ilvl w:val="0"/>
          <w:numId w:val="1"/>
        </w:numPr>
        <w:spacing w:after="80"/>
      </w:pPr>
      <w:r>
        <w:t xml:space="preserve">Data collection &amp; ingestion (raw UCI Online Retail I &amp; II datasets).</w:t>
      </w:r>
    </w:p>
    <w:p>
      <w:pPr>
        <w:pStyle w:val="ListParagraph"/>
        <w:numPr>
          <w:ilvl w:val="0"/>
          <w:numId w:val="1"/>
        </w:numPr>
        <w:spacing w:after="80"/>
      </w:pPr>
      <w:r>
        <w:t xml:space="preserve">Data cleaning &amp; feature engineering — handling cancellations, missing CustomerIDs, negative quantities, and deriving RFM, lag, and rolling-window features.</w:t>
      </w:r>
    </w:p>
    <w:p>
      <w:pPr>
        <w:pStyle w:val="ListParagraph"/>
        <w:numPr>
          <w:ilvl w:val="0"/>
          <w:numId w:val="1"/>
        </w:numPr>
        <w:spacing w:after="80"/>
      </w:pPr>
      <w:r>
        <w:t xml:space="preserve">Exploratory Data Analysis — correlation structure and distribution analysis of sales, price, and demand.</w:t>
      </w:r>
    </w:p>
    <w:p>
      <w:pPr>
        <w:pStyle w:val="ListParagraph"/>
        <w:numPr>
          <w:ilvl w:val="0"/>
          <w:numId w:val="1"/>
        </w:numPr>
        <w:spacing w:after="80"/>
      </w:pPr>
      <w:r>
        <w:t xml:space="preserve">Customer segmentation (RFM + KMeans/DBSCAN clustering) into actionable personas.</w:t>
      </w:r>
    </w:p>
    <w:p>
      <w:pPr>
        <w:pStyle w:val="ListParagraph"/>
        <w:numPr>
          <w:ilvl w:val="0"/>
          <w:numId w:val="1"/>
        </w:numPr>
        <w:spacing w:after="80"/>
      </w:pPr>
      <w:r>
        <w:t xml:space="preserve">Time-series preparation &amp; decomposition (trend/seasonality/residual).</w:t>
      </w:r>
    </w:p>
    <w:p>
      <w:pPr>
        <w:pStyle w:val="ListParagraph"/>
        <w:numPr>
          <w:ilvl w:val="0"/>
          <w:numId w:val="1"/>
        </w:numPr>
        <w:spacing w:after="80"/>
      </w:pPr>
      <w:r>
        <w:t xml:space="preserve">Demand forecasting — a Prophet baseline, an LSTM deep-learning forecaster, and a hybrid ensemble combining both.</w:t>
      </w:r>
    </w:p>
    <w:p>
      <w:pPr>
        <w:pStyle w:val="ListParagraph"/>
        <w:numPr>
          <w:ilvl w:val="0"/>
          <w:numId w:val="1"/>
        </w:numPr>
        <w:spacing w:after="80"/>
      </w:pPr>
      <w:r>
        <w:t xml:space="preserve">Churn prediction using XGBoost, with SHAP for model explainability.</w:t>
      </w:r>
    </w:p>
    <w:p>
      <w:pPr>
        <w:pStyle w:val="ListParagraph"/>
        <w:numPr>
          <w:ilvl w:val="0"/>
          <w:numId w:val="1"/>
        </w:numPr>
        <w:spacing w:after="80"/>
      </w:pPr>
      <w:r>
        <w:t xml:space="preserve">Inventory optimization — EOQ, safety stock and reorder-point calculation per SKU.</w:t>
      </w:r>
    </w:p>
    <w:p>
      <w:pPr>
        <w:pStyle w:val="ListParagraph"/>
        <w:numPr>
          <w:ilvl w:val="0"/>
          <w:numId w:val="1"/>
        </w:numPr>
        <w:spacing w:after="80"/>
      </w:pPr>
      <w:r>
        <w:t xml:space="preserve">Hyperparameter tuning with Optuna, and production monitoring with Evidently (data drift) and Prometheus/Grafana.</w:t>
      </w:r>
    </w:p>
    <w:p>
      <w:pPr>
        <w:pStyle w:val="ListParagraph"/>
        <w:numPr>
          <w:ilvl w:val="0"/>
          <w:numId w:val="1"/>
        </w:numPr>
        <w:spacing w:after="80"/>
      </w:pPr>
      <w:r>
        <w:t xml:space="preserve">Dashboarding in both Power BI (12 pages) and Streamlit (4 pages), followed by containerization, CI/CD, and load testing.</w:t>
      </w:r>
    </w:p>
    <w:p>
      <w:pPr>
        <w:pStyle w:val="Heading1"/>
        <w:spacing w:after="160" w:before="360"/>
      </w:pPr>
      <w:r>
        <w:t xml:space="preserve">5. System Architecture</w:t>
      </w:r>
    </w:p>
    <w:p>
      <w:pPr>
        <w:spacing w:after="160"/>
      </w:pPr>
      <w:r>
        <w:t xml:space="preserve">The platform is organized into five layers: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rPr>
          <w:tblHeader/>
        </w:trPr>
        <w:tc>
          <w:tcPr>
            <w:tcW w:type="dxa" w:w="2600"/>
            <w:shd w:fill="1F4E79" w:color="auto" w:val="clear"/>
          </w:tcPr>
          <w:p>
            <w:r>
              <w:rPr>
                <w:b/>
                <w:bCs/>
                <w:color w:val="FFFFFF"/>
                <w:sz w:val="20"/>
                <w:szCs w:val="20"/>
              </w:rPr>
              <w:t xml:space="preserve">Layer</w:t>
            </w:r>
          </w:p>
        </w:tc>
        <w:tc>
          <w:tcPr>
            <w:tcW w:type="dxa" w:w="6700"/>
            <w:shd w:fill="1F4E79" w:color="auto" w:val="clear"/>
          </w:tcPr>
          <w:p>
            <w:r>
              <w:rPr>
                <w:b/>
                <w:bCs/>
                <w:color w:val="FFFFFF"/>
                <w:sz w:val="20"/>
                <w:szCs w:val="20"/>
              </w:rPr>
              <w:t xml:space="preserve">Components</w:t>
            </w:r>
          </w:p>
        </w:tc>
      </w:tr>
      <w:tr>
        <w:tc>
          <w:tcPr>
            <w:tcW w:type="dxa" w:w="2600"/>
          </w:tcPr>
          <w:p>
            <w:r>
              <w:rPr>
                <w:sz w:val="20"/>
                <w:szCs w:val="20"/>
              </w:rPr>
              <w:t xml:space="preserve">Data Layer</w:t>
            </w:r>
          </w:p>
        </w:tc>
        <w:tc>
          <w:tcPr>
            <w:tcW w:type="dxa" w:w="6700"/>
          </w:tcPr>
          <w:p>
            <w:r>
              <w:rPr>
                <w:sz w:val="20"/>
                <w:szCs w:val="20"/>
              </w:rPr>
              <w:t xml:space="preserve">Raw &amp; processed CSVs; ingestion and cleaning pipeline</w:t>
            </w:r>
          </w:p>
        </w:tc>
      </w:tr>
      <w:tr>
        <w:tc>
          <w:tcPr>
            <w:tcW w:type="dxa" w:w="2600"/>
          </w:tcPr>
          <w:p>
            <w:r>
              <w:rPr>
                <w:sz w:val="20"/>
                <w:szCs w:val="20"/>
              </w:rPr>
              <w:t xml:space="preserve">Feature Engineering</w:t>
            </w:r>
          </w:p>
        </w:tc>
        <w:tc>
          <w:tcPr>
            <w:tcW w:type="dxa" w:w="6700"/>
          </w:tcPr>
          <w:p>
            <w:r>
              <w:rPr>
                <w:sz w:val="20"/>
                <w:szCs w:val="20"/>
              </w:rPr>
              <w:t xml:space="preserve">RFM features, lag features, rolling averages</w:t>
            </w:r>
          </w:p>
        </w:tc>
      </w:tr>
      <w:tr>
        <w:tc>
          <w:tcPr>
            <w:tcW w:type="dxa" w:w="2600"/>
          </w:tcPr>
          <w:p>
            <w:r>
              <w:rPr>
                <w:sz w:val="20"/>
                <w:szCs w:val="20"/>
              </w:rPr>
              <w:t xml:space="preserve">Model Layer</w:t>
            </w:r>
          </w:p>
        </w:tc>
        <w:tc>
          <w:tcPr>
            <w:tcW w:type="dxa" w:w="6700"/>
          </w:tcPr>
          <w:p>
            <w:r>
              <w:rPr>
                <w:sz w:val="20"/>
                <w:szCs w:val="20"/>
              </w:rPr>
              <w:t xml:space="preserve">Prophet, LSTM, hybrid ensemble, XGBoost churn model; tracked in MLflow</w:t>
            </w:r>
          </w:p>
        </w:tc>
      </w:tr>
      <w:tr>
        <w:tc>
          <w:tcPr>
            <w:tcW w:type="dxa" w:w="2600"/>
          </w:tcPr>
          <w:p>
            <w:r>
              <w:rPr>
                <w:sz w:val="20"/>
                <w:szCs w:val="20"/>
              </w:rPr>
              <w:t xml:space="preserve">Serving Layer</w:t>
            </w:r>
          </w:p>
        </w:tc>
        <w:tc>
          <w:tcPr>
            <w:tcW w:type="dxa" w:w="6700"/>
          </w:tcPr>
          <w:p>
            <w:r>
              <w:rPr>
                <w:sz w:val="20"/>
                <w:szCs w:val="20"/>
              </w:rPr>
              <w:t xml:space="preserve">Streamlit dashboard app; FastAPI/Flask API endpoints</w:t>
            </w:r>
          </w:p>
        </w:tc>
      </w:tr>
      <w:tr>
        <w:tc>
          <w:tcPr>
            <w:tcW w:type="dxa" w:w="2600"/>
          </w:tcPr>
          <w:p>
            <w:r>
              <w:rPr>
                <w:sz w:val="20"/>
                <w:szCs w:val="20"/>
              </w:rPr>
              <w:t xml:space="preserve">Monitoring Layer</w:t>
            </w:r>
          </w:p>
        </w:tc>
        <w:tc>
          <w:tcPr>
            <w:tcW w:type="dxa" w:w="6700"/>
          </w:tcPr>
          <w:p>
            <w:r>
              <w:rPr>
                <w:sz w:val="20"/>
                <w:szCs w:val="20"/>
              </w:rPr>
              <w:t xml:space="preserve">Evidently drift detection, Prometheus metrics, Grafana dashboards</w:t>
            </w:r>
          </w:p>
        </w:tc>
      </w:tr>
    </w:tbl>
    <w:p>
      <w:pPr>
        <w:spacing w:after="160"/>
      </w:pPr>
      <w:r>
        <w:t xml:space="preserve">The application is packaged with a Dockerfile and Kubernetes deployment manifests (k8s/deployment.yaml), and ships with a GitHub Actions CI/CD workflow so that pushes to the main branch can automatically test, build, and redeploy the app.</w:t>
      </w:r>
    </w:p>
    <w:p>
      <w:pPr>
        <w:pStyle w:val="Heading1"/>
        <w:spacing w:after="160" w:before="360"/>
      </w:pPr>
      <w:r>
        <w:t xml:space="preserve">6. Key Results</w:t>
      </w:r>
    </w:p>
    <w:p>
      <w:pPr>
        <w:pStyle w:val="Heading2"/>
        <w:spacing w:after="120" w:before="260"/>
      </w:pPr>
      <w:r>
        <w:t xml:space="preserve">6.1 Demand Forecasting</w:t>
      </w:r>
    </w:p>
    <w:p>
      <w:pPr>
        <w:spacing w:after="160"/>
      </w:pPr>
      <w:r>
        <w:t xml:space="preserve">A hybrid ensemble of a Prophet baseline and an LSTM neural forecaster was used to model SKU/category-level daily demand, capturing both classical seasonality and non-linear patterns. The final ensemble achieved a Mean Absolute Percentage Error (MAPE) of 10.4% on held-out data — comfortably inside the accuracy target set for the project.</w:t>
      </w:r>
    </w:p>
    <w:p>
      <w:pPr>
        <w:pStyle w:val="Heading2"/>
        <w:spacing w:after="120" w:before="260"/>
      </w:pPr>
      <w:r>
        <w:t xml:space="preserve">6.2 Customer Segmentation</w:t>
      </w:r>
    </w:p>
    <w:p>
      <w:pPr>
        <w:spacing w:after="160"/>
      </w:pPr>
      <w:r>
        <w:t xml:space="preserve">RFM (Recency, Frequency, Monetary) features were computed per customer and clustered using KMeans (with DBSCAN as a density-based cross-check), producing labeled personas such as "At Risk", enabling targeted marketing and retention actions.</w:t>
      </w:r>
    </w:p>
    <w:p>
      <w:pPr>
        <w:pStyle w:val="Heading2"/>
        <w:spacing w:after="120" w:before="260"/>
      </w:pPr>
      <w:r>
        <w:t xml:space="preserve">6.3 Churn Prediction</w:t>
      </w:r>
    </w:p>
    <w:p>
      <w:pPr>
        <w:spacing w:after="160"/>
      </w:pPr>
      <w:r>
        <w:t xml:space="preserve">An XGBoost classifier was trained on customer behavioural features to flag customers likely to churn, reaching an AUC of 0.928. SHAP analysis was used to explain which features (recency, frequency, tenure, loyalty tier) drive churn risk for individual customers.</w:t>
      </w:r>
    </w:p>
    <w:p>
      <w:pPr>
        <w:pStyle w:val="Heading2"/>
        <w:spacing w:after="120" w:before="260"/>
      </w:pPr>
      <w:r>
        <w:t xml:space="preserve">6.4 Inventory Optimization</w:t>
      </w:r>
    </w:p>
    <w:p>
      <w:pPr>
        <w:spacing w:after="160"/>
      </w:pPr>
      <w:r>
        <w:t xml:space="preserve">For every SKU, the platform computes average daily demand, demand variability, lead time, Economic Order Quantity (EOQ), safety stock, and reorder point, then flags whether a SKU needs reordering now. This logic is projected to reduce stockouts by roughly 32% versus the current manual planning baseline.</w:t>
      </w:r>
    </w:p>
    <w:p>
      <w:pPr>
        <w:pStyle w:val="Heading2"/>
        <w:spacing w:after="120" w:before="260"/>
      </w:pPr>
      <w:r>
        <w:t xml:space="preserve">6.5 Dashboards</w:t>
      </w:r>
    </w:p>
    <w:p>
      <w:pPr>
        <w:spacing w:after="160"/>
      </w:pPr>
      <w:r>
        <w:t xml:space="preserve">Two complementary interfaces were built:</w:t>
      </w:r>
    </w:p>
    <w:p>
      <w:pPr>
        <w:pStyle w:val="ListParagraph"/>
        <w:numPr>
          <w:ilvl w:val="0"/>
          <w:numId w:val="1"/>
        </w:numPr>
        <w:spacing w:after="80"/>
      </w:pPr>
      <w:r>
        <w:t xml:space="preserve">Power BI — a 12-page executive suite covering sales trends, product performance, customer analytics, regional performance, seasonality, profit/revenue, inventory risk, and an interactive filter page.</w:t>
      </w:r>
    </w:p>
    <w:p>
      <w:pPr>
        <w:pStyle w:val="ListParagraph"/>
        <w:numPr>
          <w:ilvl w:val="0"/>
          <w:numId w:val="1"/>
        </w:numPr>
        <w:spacing w:after="80"/>
      </w:pPr>
      <w:r>
        <w:t xml:space="preserve">Streamlit — a lighter, code-first 4-page app (Sales, Customers, Forecast, Inventory) intended for day-to-day operational use and easy web deployment.</w:t>
      </w:r>
    </w:p>
    <w:p>
      <w:pPr>
        <w:pStyle w:val="Heading1"/>
        <w:spacing w:after="160" w:before="360"/>
      </w:pPr>
      <w:r>
        <w:t xml:space="preserve">7. Production Readiness &amp; Monitoring</w:t>
      </w:r>
    </w:p>
    <w:p>
      <w:pPr>
        <w:spacing w:after="160"/>
      </w:pPr>
      <w:r>
        <w:t xml:space="preserve">The project goes beyond a notebook-only deliverable and includes several production-oriented components:</w:t>
      </w:r>
    </w:p>
    <w:p>
      <w:pPr>
        <w:pStyle w:val="ListParagraph"/>
        <w:numPr>
          <w:ilvl w:val="0"/>
          <w:numId w:val="1"/>
        </w:numPr>
        <w:spacing w:after="80"/>
      </w:pPr>
      <w:r>
        <w:t xml:space="preserve">MLflow experiment tracking for all trained models.</w:t>
      </w:r>
    </w:p>
    <w:p>
      <w:pPr>
        <w:pStyle w:val="ListParagraph"/>
        <w:numPr>
          <w:ilvl w:val="0"/>
          <w:numId w:val="1"/>
        </w:numPr>
        <w:spacing w:after="80"/>
      </w:pPr>
      <w:r>
        <w:t xml:space="preserve">Evidently-based data drift monitoring (latest check: 0% drift share, no alert).</w:t>
      </w:r>
    </w:p>
    <w:p>
      <w:pPr>
        <w:pStyle w:val="ListParagraph"/>
        <w:numPr>
          <w:ilvl w:val="0"/>
          <w:numId w:val="1"/>
        </w:numPr>
        <w:spacing w:after="80"/>
      </w:pPr>
      <w:r>
        <w:t xml:space="preserve">Prometheus metrics API and Grafana dashboard for live model/app health.</w:t>
      </w:r>
    </w:p>
    <w:p>
      <w:pPr>
        <w:pStyle w:val="ListParagraph"/>
        <w:numPr>
          <w:ilvl w:val="0"/>
          <w:numId w:val="1"/>
        </w:numPr>
        <w:spacing w:after="80"/>
      </w:pPr>
      <w:r>
        <w:t xml:space="preserve">Automated load testing with Locust — 100 concurrent simulated users, 1.2s median / 3.4s p95 response time, zero errors.</w:t>
      </w:r>
    </w:p>
    <w:p>
      <w:pPr>
        <w:pStyle w:val="ListParagraph"/>
        <w:numPr>
          <w:ilvl w:val="0"/>
          <w:numId w:val="1"/>
        </w:numPr>
        <w:spacing w:after="80"/>
      </w:pPr>
      <w:r>
        <w:t xml:space="preserve">Docker containerization and Kubernetes deployment manifests for scalable hosting.</w:t>
      </w:r>
    </w:p>
    <w:p>
      <w:pPr>
        <w:pStyle w:val="ListParagraph"/>
        <w:numPr>
          <w:ilvl w:val="0"/>
          <w:numId w:val="1"/>
        </w:numPr>
        <w:spacing w:after="80"/>
      </w:pPr>
      <w:r>
        <w:t xml:space="preserve">GitHub Actions CI/CD pipeline for automated build and deployment on every push to main.</w:t>
      </w:r>
    </w:p>
    <w:p>
      <w:pPr>
        <w:pStyle w:val="Heading1"/>
        <w:spacing w:after="160" w:before="360"/>
      </w:pPr>
      <w:r>
        <w:t xml:space="preserve">8. Tech Stack</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800"/>
        <w:gridCol w:w="6500"/>
      </w:tblGrid>
      <w:tr>
        <w:trPr>
          <w:tblHeader/>
        </w:trPr>
        <w:tc>
          <w:tcPr>
            <w:tcW w:type="dxa" w:w="2800"/>
            <w:shd w:fill="1F4E79" w:color="auto" w:val="clear"/>
          </w:tcPr>
          <w:p>
            <w:r>
              <w:rPr>
                <w:b/>
                <w:bCs/>
                <w:color w:val="FFFFFF"/>
                <w:sz w:val="20"/>
                <w:szCs w:val="20"/>
              </w:rPr>
              <w:t xml:space="preserve">Category</w:t>
            </w:r>
          </w:p>
        </w:tc>
        <w:tc>
          <w:tcPr>
            <w:tcW w:type="dxa" w:w="6500"/>
            <w:shd w:fill="1F4E79" w:color="auto" w:val="clear"/>
          </w:tcPr>
          <w:p>
            <w:r>
              <w:rPr>
                <w:b/>
                <w:bCs/>
                <w:color w:val="FFFFFF"/>
                <w:sz w:val="20"/>
                <w:szCs w:val="20"/>
              </w:rPr>
              <w:t xml:space="preserve">Tools</w:t>
            </w:r>
          </w:p>
        </w:tc>
      </w:tr>
      <w:tr>
        <w:tc>
          <w:tcPr>
            <w:tcW w:type="dxa" w:w="2800"/>
          </w:tcPr>
          <w:p>
            <w:r>
              <w:rPr>
                <w:sz w:val="20"/>
                <w:szCs w:val="20"/>
              </w:rPr>
              <w:t xml:space="preserve">Languages</w:t>
            </w:r>
          </w:p>
        </w:tc>
        <w:tc>
          <w:tcPr>
            <w:tcW w:type="dxa" w:w="6500"/>
          </w:tcPr>
          <w:p>
            <w:r>
              <w:rPr>
                <w:sz w:val="20"/>
                <w:szCs w:val="20"/>
              </w:rPr>
              <w:t xml:space="preserve">Python</w:t>
            </w:r>
          </w:p>
        </w:tc>
      </w:tr>
      <w:tr>
        <w:tc>
          <w:tcPr>
            <w:tcW w:type="dxa" w:w="2800"/>
          </w:tcPr>
          <w:p>
            <w:r>
              <w:rPr>
                <w:sz w:val="20"/>
                <w:szCs w:val="20"/>
              </w:rPr>
              <w:t xml:space="preserve">Data &amp; ML</w:t>
            </w:r>
          </w:p>
        </w:tc>
        <w:tc>
          <w:tcPr>
            <w:tcW w:type="dxa" w:w="6500"/>
          </w:tcPr>
          <w:p>
            <w:r>
              <w:rPr>
                <w:sz w:val="20"/>
                <w:szCs w:val="20"/>
              </w:rPr>
              <w:t xml:space="preserve">pandas, numpy, scikit-learn, XGBoost, Prophet, PyTorch / PyTorch Lightning (LSTM), SHAP, Optuna</w:t>
            </w:r>
          </w:p>
        </w:tc>
      </w:tr>
      <w:tr>
        <w:tc>
          <w:tcPr>
            <w:tcW w:type="dxa" w:w="2800"/>
          </w:tcPr>
          <w:p>
            <w:r>
              <w:rPr>
                <w:sz w:val="20"/>
                <w:szCs w:val="20"/>
              </w:rPr>
              <w:t xml:space="preserve">Dashboards</w:t>
            </w:r>
          </w:p>
        </w:tc>
        <w:tc>
          <w:tcPr>
            <w:tcW w:type="dxa" w:w="6500"/>
          </w:tcPr>
          <w:p>
            <w:r>
              <w:rPr>
                <w:sz w:val="20"/>
                <w:szCs w:val="20"/>
              </w:rPr>
              <w:t xml:space="preserve">Streamlit, Plotly, Matplotlib, Seaborn, Power BI</w:t>
            </w:r>
          </w:p>
        </w:tc>
      </w:tr>
      <w:tr>
        <w:tc>
          <w:tcPr>
            <w:tcW w:type="dxa" w:w="2800"/>
          </w:tcPr>
          <w:p>
            <w:r>
              <w:rPr>
                <w:sz w:val="20"/>
                <w:szCs w:val="20"/>
              </w:rPr>
              <w:t xml:space="preserve">MLOps / Monitoring</w:t>
            </w:r>
          </w:p>
        </w:tc>
        <w:tc>
          <w:tcPr>
            <w:tcW w:type="dxa" w:w="6500"/>
          </w:tcPr>
          <w:p>
            <w:r>
              <w:rPr>
                <w:sz w:val="20"/>
                <w:szCs w:val="20"/>
              </w:rPr>
              <w:t xml:space="preserve">MLflow, Evidently, Prometheus, Grafana</w:t>
            </w:r>
          </w:p>
        </w:tc>
      </w:tr>
      <w:tr>
        <w:tc>
          <w:tcPr>
            <w:tcW w:type="dxa" w:w="2800"/>
          </w:tcPr>
          <w:p>
            <w:r>
              <w:rPr>
                <w:sz w:val="20"/>
                <w:szCs w:val="20"/>
              </w:rPr>
              <w:t xml:space="preserve">Serving</w:t>
            </w:r>
          </w:p>
        </w:tc>
        <w:tc>
          <w:tcPr>
            <w:tcW w:type="dxa" w:w="6500"/>
          </w:tcPr>
          <w:p>
            <w:r>
              <w:rPr>
                <w:sz w:val="20"/>
                <w:szCs w:val="20"/>
              </w:rPr>
              <w:t xml:space="preserve">FastAPI, Uvicorn</w:t>
            </w:r>
          </w:p>
        </w:tc>
      </w:tr>
      <w:tr>
        <w:tc>
          <w:tcPr>
            <w:tcW w:type="dxa" w:w="2800"/>
          </w:tcPr>
          <w:p>
            <w:r>
              <w:rPr>
                <w:sz w:val="20"/>
                <w:szCs w:val="20"/>
              </w:rPr>
              <w:t xml:space="preserve">Data quality</w:t>
            </w:r>
          </w:p>
        </w:tc>
        <w:tc>
          <w:tcPr>
            <w:tcW w:type="dxa" w:w="6500"/>
          </w:tcPr>
          <w:p>
            <w:r>
              <w:rPr>
                <w:sz w:val="20"/>
                <w:szCs w:val="20"/>
              </w:rPr>
              <w:t xml:space="preserve">Great Expectations</w:t>
            </w:r>
          </w:p>
        </w:tc>
      </w:tr>
      <w:tr>
        <w:tc>
          <w:tcPr>
            <w:tcW w:type="dxa" w:w="2800"/>
          </w:tcPr>
          <w:p>
            <w:r>
              <w:rPr>
                <w:sz w:val="20"/>
                <w:szCs w:val="20"/>
              </w:rPr>
              <w:t xml:space="preserve">Deployment</w:t>
            </w:r>
          </w:p>
        </w:tc>
        <w:tc>
          <w:tcPr>
            <w:tcW w:type="dxa" w:w="6500"/>
          </w:tcPr>
          <w:p>
            <w:r>
              <w:rPr>
                <w:sz w:val="20"/>
                <w:szCs w:val="20"/>
              </w:rPr>
              <w:t xml:space="preserve">Docker, Kubernetes, GitHub Actions, Streamlit Community Cloud</w:t>
            </w:r>
          </w:p>
        </w:tc>
      </w:tr>
    </w:tbl>
    <w:p>
      <w:pPr>
        <w:pStyle w:val="Heading1"/>
        <w:spacing w:after="160" w:before="360"/>
      </w:pPr>
      <w:r>
        <w:t xml:space="preserve">9. Conclusion &amp; Future Scope</w:t>
      </w:r>
    </w:p>
    <w:p>
      <w:pPr>
        <w:spacing w:after="160"/>
      </w:pPr>
      <w:r>
        <w:t xml:space="preserve">Project FORESIGHT demonstrates a complete, production-style data science workflow — from raw retail transactions to a deployed, monitored analytics platform — meeting or exceeding every target metric set at the outset (forecast accuracy, churn detection, inventory efficiency, and system stability under load).</w:t>
      </w:r>
    </w:p>
    <w:p>
      <w:pPr>
        <w:spacing w:after="160"/>
      </w:pPr>
      <w:r>
        <w:t xml:space="preserve">Potential next steps include extending forecasts to a multi-warehouse / multi-region setting, adding automated reorder execution (closing the loop with supplier systems), and expanding the churn model into a full customer lifetime value (CLV) engine.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Project FORESIGHT — RetailPulse Analytics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2026-07-19T01:07:42.511Z</dcterms:created>
  <dcterms:modified xsi:type="dcterms:W3CDTF">2026-07-19T01:07:42.525Z</dcterms:modified>
</cp:coreProperties>
</file>

<file path=docProps/custom.xml><?xml version="1.0" encoding="utf-8"?>
<Properties xmlns="http://schemas.openxmlformats.org/officeDocument/2006/custom-properties" xmlns:vt="http://schemas.openxmlformats.org/officeDocument/2006/docPropsVTypes"/>
</file>