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软件开发文档</w:t>
      </w:r>
    </w:p>
    <w:p>
      <w:pPr>
        <w:spacing w:after="120"/>
        <w:jc w:val="center"/>
      </w:pPr>
      <w:r>
        <w:t>程序设计实践课程项目答辩展示材料</w:t>
      </w:r>
    </w:p>
    <w:p>
      <w:pPr>
        <w:spacing w:after="120"/>
      </w:pPr>
      <w:r>
        <w:t>项目名称：航友——面向大学生的课程资料智能问答与学习规划助手</w:t>
      </w:r>
    </w:p>
    <w:p>
      <w:pPr>
        <w:spacing w:after="120"/>
      </w:pPr>
      <w:r>
        <w:t>文档说明：本文基于已实现版本整理，重点说明真实功能、技术实现、验证结果与已知边界。</w:t>
      </w:r>
    </w:p>
    <w:p>
      <w:pPr>
        <w:pStyle w:val="3"/>
      </w:pPr>
      <w:r>
        <w:t>一、项目基本信息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156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156"/>
          </w:tcPr>
          <w:p>
            <w:r>
              <w:t>项目名称</w:t>
            </w:r>
          </w:p>
        </w:tc>
        <w:tc>
          <w:tcPr>
            <w:tcW w:type="dxa" w:w="4156"/>
          </w:tcPr>
          <w:p>
            <w:r>
              <w:t>航友——面向大学生的课程资料智能问答与学习规划助手</w:t>
            </w:r>
          </w:p>
        </w:tc>
      </w:tr>
      <w:tr>
        <w:tc>
          <w:tcPr>
            <w:tcW w:type="dxa" w:w="4156"/>
          </w:tcPr>
          <w:p>
            <w:r>
              <w:t>作者姓名</w:t>
            </w:r>
          </w:p>
        </w:tc>
        <w:tc>
          <w:tcPr>
            <w:tcW w:type="dxa" w:w="4156"/>
          </w:tcPr>
          <w:p>
            <w:r>
              <w:t>任贺然</w:t>
            </w:r>
          </w:p>
        </w:tc>
      </w:tr>
      <w:tr>
        <w:tc>
          <w:tcPr>
            <w:tcW w:type="dxa" w:w="4156"/>
          </w:tcPr>
          <w:p>
            <w:r>
              <w:t>学号</w:t>
            </w:r>
          </w:p>
        </w:tc>
        <w:tc>
          <w:tcPr>
            <w:tcW w:type="dxa" w:w="4156"/>
          </w:tcPr>
          <w:p>
            <w:r>
              <w:t>25371386</w:t>
            </w:r>
          </w:p>
        </w:tc>
      </w:tr>
      <w:tr>
        <w:tc>
          <w:tcPr>
            <w:tcW w:type="dxa" w:w="4156"/>
          </w:tcPr>
          <w:p>
            <w:r>
              <w:t>专业 / 班级</w:t>
            </w:r>
          </w:p>
        </w:tc>
        <w:tc>
          <w:tcPr>
            <w:tcW w:type="dxa" w:w="4156"/>
          </w:tcPr>
          <w:p>
            <w:r>
              <w:t>软件工程 / 252115</w:t>
            </w:r>
          </w:p>
        </w:tc>
      </w:tr>
      <w:tr>
        <w:tc>
          <w:tcPr>
            <w:tcW w:type="dxa" w:w="4156"/>
          </w:tcPr>
          <w:p>
            <w:r>
              <w:t>课程</w:t>
            </w:r>
          </w:p>
        </w:tc>
        <w:tc>
          <w:tcPr>
            <w:tcW w:type="dxa" w:w="4156"/>
          </w:tcPr>
          <w:p>
            <w:r>
              <w:t>程序设计实践</w:t>
            </w:r>
          </w:p>
        </w:tc>
      </w:tr>
      <w:tr>
        <w:tc>
          <w:tcPr>
            <w:tcW w:type="dxa" w:w="4156"/>
          </w:tcPr>
          <w:p>
            <w:r>
              <w:t>开发周期</w:t>
            </w:r>
          </w:p>
        </w:tc>
        <w:tc>
          <w:tcPr>
            <w:tcW w:type="dxa" w:w="4156"/>
          </w:tcPr>
          <w:p>
            <w:r>
              <w:t>2026 年 8 月 25 日—2026 年 9 月 6 日</w:t>
            </w:r>
          </w:p>
        </w:tc>
      </w:tr>
      <w:tr>
        <w:tc>
          <w:tcPr>
            <w:tcW w:type="dxa" w:w="4156"/>
          </w:tcPr>
          <w:p>
            <w:r>
              <w:t>技术栈</w:t>
            </w:r>
          </w:p>
        </w:tc>
        <w:tc>
          <w:tcPr>
            <w:tcW w:type="dxa" w:w="4156"/>
          </w:tcPr>
          <w:p>
            <w:r>
              <w:t>React 19、TypeScript、Vite、Tailwind CSS；Python 3.12、FastAPI、SQLAlchemy、SQLite；sentence-transformers、BM25、RRF、FSRS；OpenAI 兼容 LLM API</w:t>
            </w:r>
          </w:p>
        </w:tc>
      </w:tr>
      <w:tr>
        <w:tc>
          <w:tcPr>
            <w:tcW w:type="dxa" w:w="4156"/>
          </w:tcPr>
          <w:p>
            <w:r>
              <w:t>代码仓库</w:t>
            </w:r>
          </w:p>
        </w:tc>
        <w:tc>
          <w:tcPr>
            <w:tcW w:type="dxa" w:w="4156"/>
          </w:tcPr>
          <w:p>
            <w:r>
              <w:t>https://github.com/shrrrrrrrr/Real-mini-semester</w:t>
            </w:r>
          </w:p>
        </w:tc>
      </w:tr>
      <w:tr>
        <w:tc>
          <w:tcPr>
            <w:tcW w:type="dxa" w:w="4156"/>
          </w:tcPr>
          <w:p>
            <w:r>
              <w:t>运行环境</w:t>
            </w:r>
          </w:p>
        </w:tc>
        <w:tc>
          <w:tcPr>
            <w:tcW w:type="dxa" w:w="4156"/>
          </w:tcPr>
          <w:p>
            <w:r>
              <w:t>Windows 10/11；Node.js 18+；Python 3.10+；Chrome/Edge 等现代浏览器</w:t>
            </w:r>
          </w:p>
        </w:tc>
      </w:tr>
      <w:tr>
        <w:tc>
          <w:tcPr>
            <w:tcW w:type="dxa" w:w="4156"/>
          </w:tcPr>
          <w:p>
            <w:r>
              <w:t>交付形态</w:t>
            </w:r>
          </w:p>
        </w:tc>
        <w:tc>
          <w:tcPr>
            <w:tcW w:type="dxa" w:w="4156"/>
          </w:tcPr>
          <w:p>
            <w:r>
              <w:t>本地优先 Web 应用；另提供 Android 调试包，需与 Windows 服务同一 Wi-Fi。</w:t>
            </w:r>
          </w:p>
        </w:tc>
      </w:tr>
    </w:tbl>
    <w:p>
      <w:pPr>
        <w:spacing w:after="120"/>
      </w:pPr>
      <w:r/>
    </w:p>
    <w:p>
      <w:pPr>
        <w:pStyle w:val="3"/>
      </w:pPr>
      <w:r>
        <w:t>二、项目概述</w:t>
      </w:r>
    </w:p>
    <w:p>
      <w:pPr>
        <w:pStyle w:val="4"/>
      </w:pPr>
      <w:r>
        <w:t>2.1 项目背景与动机</w:t>
      </w:r>
    </w:p>
    <w:p>
      <w:pPr>
        <w:spacing w:after="120"/>
      </w:pPr>
      <w:r>
        <w:t>大学生在期末复习时通常面对 PDF 课件、Word 讲义、PPT 和电子教材等不同格式资料。通用大模型可以回答问题，却不了解学生自己的课程材料；普通文档问答工具又往往止步于一次对话，无法把理解、检测和记忆串成学习闭环。航友以用户上传资料为第一知识源，将“问资料、测自己、复习错题”整合在同一应用中。</w:t>
      </w:r>
    </w:p>
    <w:p>
      <w:pPr>
        <w:spacing w:after="120"/>
      </w:pPr>
      <w:r>
        <w:t>项目选择本地优先架构：课程、资料原件、索引、对话和复习数据存入本机 SQLite，只有用户主动配置的大模型接口用于生成内容。这降低了学生个人资料上云的依赖，也使答辩现场可直接在本机运行。</w:t>
      </w:r>
    </w:p>
    <w:p>
      <w:pPr>
        <w:pStyle w:val="4"/>
      </w:pPr>
      <w:r>
        <w:t>2.2 项目简介</w:t>
      </w:r>
    </w:p>
    <w:p>
      <w:pPr>
        <w:spacing w:after="120"/>
      </w:pPr>
      <w:r>
        <w:t>航友支持创建课程并上传 PDF、DOCX、PPTX、EPUB、TXT、MD 等资料。系统解析资料、保留页码或章节定位，再使用混合检索找到相关片段。回答将“资料依据”和“模型通识”分区展示，引用由后端根据真实片段生成，用户可点击查看原文。随后可生成资料测验、把错题转为闪卡，并以 FSRS 间隔重复与考试冲刺计划安排复习。</w:t>
      </w:r>
    </w:p>
    <w:p>
      <w:pPr>
        <w:pStyle w:val="3"/>
      </w:pPr>
      <w:r>
        <w:t>三、需求分析</w:t>
      </w:r>
    </w:p>
    <w:p>
      <w:pPr>
        <w:pStyle w:val="4"/>
      </w:pPr>
      <w:r>
        <w:t>3.1 功能需求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1662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1662"/>
          </w:tcPr>
          <w:p>
            <w:r>
              <w:rPr>
                <w:b/>
              </w:rPr>
              <w:t>真实实现内容</w:t>
            </w:r>
          </w:p>
        </w:tc>
        <w:tc>
          <w:tcPr>
            <w:tcW w:type="dxa" w:w="1662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662"/>
          </w:tcPr>
          <w:p>
            <w:r>
              <w:rPr>
                <w:b/>
              </w:rPr>
              <w:t>输出</w:t>
            </w:r>
          </w:p>
        </w:tc>
      </w:tr>
      <w:tr>
        <w:tc>
          <w:tcPr>
            <w:tcW w:type="dxa" w:w="1662"/>
          </w:tcPr>
          <w:p>
            <w:r>
              <w:t>F01</w:t>
            </w:r>
          </w:p>
        </w:tc>
        <w:tc>
          <w:tcPr>
            <w:tcW w:type="dxa" w:w="1662"/>
          </w:tcPr>
          <w:p>
            <w:r>
              <w:t>课程与资料库</w:t>
            </w:r>
          </w:p>
        </w:tc>
        <w:tc>
          <w:tcPr>
            <w:tcW w:type="dxa" w:w="1662"/>
          </w:tcPr>
          <w:p>
            <w:r>
              <w:t>创建课程；上传、删除、重新解析课程资料；显示解析状态。</w:t>
            </w:r>
          </w:p>
        </w:tc>
        <w:tc>
          <w:tcPr>
            <w:tcW w:type="dxa" w:w="1662"/>
          </w:tcPr>
          <w:p>
            <w:r>
              <w:t>课程名、文件</w:t>
            </w:r>
          </w:p>
        </w:tc>
        <w:tc>
          <w:tcPr>
            <w:tcW w:type="dxa" w:w="1662"/>
          </w:tcPr>
          <w:p>
            <w:r>
              <w:t>课程与资料记录</w:t>
            </w:r>
          </w:p>
        </w:tc>
      </w:tr>
      <w:tr>
        <w:tc>
          <w:tcPr>
            <w:tcW w:type="dxa" w:w="1662"/>
          </w:tcPr>
          <w:p>
            <w:r>
              <w:t>F02</w:t>
            </w:r>
          </w:p>
        </w:tc>
        <w:tc>
          <w:tcPr>
            <w:tcW w:type="dxa" w:w="1662"/>
          </w:tcPr>
          <w:p>
            <w:r>
              <w:t>书库</w:t>
            </w:r>
          </w:p>
        </w:tc>
        <w:tc>
          <w:tcPr>
            <w:tcW w:type="dxa" w:w="1662"/>
          </w:tcPr>
          <w:p>
            <w:r>
              <w:t>导入 EPUB/PDF 等电子书；可改书名，自动生成蓝绿色像素封面。</w:t>
            </w:r>
          </w:p>
        </w:tc>
        <w:tc>
          <w:tcPr>
            <w:tcW w:type="dxa" w:w="1662"/>
          </w:tcPr>
          <w:p>
            <w:r>
              <w:t>书籍文件、书名</w:t>
            </w:r>
          </w:p>
        </w:tc>
        <w:tc>
          <w:tcPr>
            <w:tcW w:type="dxa" w:w="1662"/>
          </w:tcPr>
          <w:p>
            <w:r>
              <w:t>书库条目</w:t>
            </w:r>
          </w:p>
        </w:tc>
      </w:tr>
      <w:tr>
        <w:tc>
          <w:tcPr>
            <w:tcW w:type="dxa" w:w="1662"/>
          </w:tcPr>
          <w:p>
            <w:r>
              <w:t>F03</w:t>
            </w:r>
          </w:p>
        </w:tc>
        <w:tc>
          <w:tcPr>
            <w:tcW w:type="dxa" w:w="1662"/>
          </w:tcPr>
          <w:p>
            <w:r>
              <w:t>资料解析与索引</w:t>
            </w:r>
          </w:p>
        </w:tc>
        <w:tc>
          <w:tcPr>
            <w:tcW w:type="dxa" w:w="1662"/>
          </w:tcPr>
          <w:p>
            <w:r>
              <w:t>按格式解析、语义分块、生成 MiniLM 向量并保存定位信息；扫描版 PDF 明确拒收。</w:t>
            </w:r>
          </w:p>
        </w:tc>
        <w:tc>
          <w:tcPr>
            <w:tcW w:type="dxa" w:w="1662"/>
          </w:tcPr>
          <w:p>
            <w:r>
              <w:t>资料原文</w:t>
            </w:r>
          </w:p>
        </w:tc>
        <w:tc>
          <w:tcPr>
            <w:tcW w:type="dxa" w:w="1662"/>
          </w:tcPr>
          <w:p>
            <w:r>
              <w:t>可检索 chunks</w:t>
            </w:r>
          </w:p>
        </w:tc>
      </w:tr>
      <w:tr>
        <w:tc>
          <w:tcPr>
            <w:tcW w:type="dxa" w:w="1662"/>
          </w:tcPr>
          <w:p>
            <w:r>
              <w:t>F04</w:t>
            </w:r>
          </w:p>
        </w:tc>
        <w:tc>
          <w:tcPr>
            <w:tcW w:type="dxa" w:w="1662"/>
          </w:tcPr>
          <w:p>
            <w:r>
              <w:t>可信问答</w:t>
            </w:r>
          </w:p>
        </w:tc>
        <w:tc>
          <w:tcPr>
            <w:tcW w:type="dxa" w:w="1662"/>
          </w:tcPr>
          <w:p>
            <w:r>
              <w:t>BM25+向量+RRF 检索；SSE 流式回答；资料依据与通识分区；引用抽屉。</w:t>
            </w:r>
          </w:p>
        </w:tc>
        <w:tc>
          <w:tcPr>
            <w:tcW w:type="dxa" w:w="1662"/>
          </w:tcPr>
          <w:p>
            <w:r>
              <w:t>问题、课程、勾选书籍</w:t>
            </w:r>
          </w:p>
        </w:tc>
        <w:tc>
          <w:tcPr>
            <w:tcW w:type="dxa" w:w="1662"/>
          </w:tcPr>
          <w:p>
            <w:r>
              <w:t>分层答案与引用</w:t>
            </w:r>
          </w:p>
        </w:tc>
      </w:tr>
      <w:tr>
        <w:tc>
          <w:tcPr>
            <w:tcW w:type="dxa" w:w="1662"/>
          </w:tcPr>
          <w:p>
            <w:r>
              <w:t>F05</w:t>
            </w:r>
          </w:p>
        </w:tc>
        <w:tc>
          <w:tcPr>
            <w:tcW w:type="dxa" w:w="1662"/>
          </w:tcPr>
          <w:p>
            <w:r>
              <w:t>分支对话导图</w:t>
            </w:r>
          </w:p>
        </w:tc>
        <w:tc>
          <w:tcPr>
            <w:tcW w:type="dxa" w:w="1662"/>
          </w:tcPr>
          <w:p>
            <w:r>
              <w:t>任一回答可“就此提问”创建分支；导图支持横向分叉、节点跳转与双向滚动。</w:t>
            </w:r>
          </w:p>
        </w:tc>
        <w:tc>
          <w:tcPr>
            <w:tcW w:type="dxa" w:w="1662"/>
          </w:tcPr>
          <w:p>
            <w:r>
              <w:t>追问、节点</w:t>
            </w:r>
          </w:p>
        </w:tc>
        <w:tc>
          <w:tcPr>
            <w:tcW w:type="dxa" w:w="1662"/>
          </w:tcPr>
          <w:p>
            <w:r>
              <w:t>分支会话树</w:t>
            </w:r>
          </w:p>
        </w:tc>
      </w:tr>
      <w:tr>
        <w:tc>
          <w:tcPr>
            <w:tcW w:type="dxa" w:w="1662"/>
          </w:tcPr>
          <w:p>
            <w:r>
              <w:t>F06</w:t>
            </w:r>
          </w:p>
        </w:tc>
        <w:tc>
          <w:tcPr>
            <w:tcW w:type="dxa" w:w="1662"/>
          </w:tcPr>
          <w:p>
            <w:r>
              <w:t>讲解模式</w:t>
            </w:r>
          </w:p>
        </w:tc>
        <w:tc>
          <w:tcPr>
            <w:tcW w:type="dxa" w:w="1662"/>
          </w:tcPr>
          <w:p>
            <w:r>
              <w:t>按课程主题生成结构化讲解，并可关联已有资料片段。</w:t>
            </w:r>
          </w:p>
        </w:tc>
        <w:tc>
          <w:tcPr>
            <w:tcW w:type="dxa" w:w="1662"/>
          </w:tcPr>
          <w:p>
            <w:r>
              <w:t>主题</w:t>
            </w:r>
          </w:p>
        </w:tc>
        <w:tc>
          <w:tcPr>
            <w:tcW w:type="dxa" w:w="1662"/>
          </w:tcPr>
          <w:p>
            <w:r>
              <w:t>讲解大纲</w:t>
            </w:r>
          </w:p>
        </w:tc>
      </w:tr>
      <w:tr>
        <w:tc>
          <w:tcPr>
            <w:tcW w:type="dxa" w:w="1662"/>
          </w:tcPr>
          <w:p>
            <w:r>
              <w:t>F07</w:t>
            </w:r>
          </w:p>
        </w:tc>
        <w:tc>
          <w:tcPr>
            <w:tcW w:type="dxa" w:w="1662"/>
          </w:tcPr>
          <w:p>
            <w:r>
              <w:t>智能测验</w:t>
            </w:r>
          </w:p>
        </w:tc>
        <w:tc>
          <w:tcPr>
            <w:tcW w:type="dxa" w:w="1662"/>
          </w:tcPr>
          <w:p>
            <w:r>
              <w:t>仅基于资料生成四选一题，提交后记录判分和解析。</w:t>
            </w:r>
          </w:p>
        </w:tc>
        <w:tc>
          <w:tcPr>
            <w:tcW w:type="dxa" w:w="1662"/>
          </w:tcPr>
          <w:p>
            <w:r>
              <w:t>资料范围、题量、答案</w:t>
            </w:r>
          </w:p>
        </w:tc>
        <w:tc>
          <w:tcPr>
            <w:tcW w:type="dxa" w:w="1662"/>
          </w:tcPr>
          <w:p>
            <w:r>
              <w:t>测验历史</w:t>
            </w:r>
          </w:p>
        </w:tc>
      </w:tr>
      <w:tr>
        <w:tc>
          <w:tcPr>
            <w:tcW w:type="dxa" w:w="1662"/>
          </w:tcPr>
          <w:p>
            <w:r>
              <w:t>F08</w:t>
            </w:r>
          </w:p>
        </w:tc>
        <w:tc>
          <w:tcPr>
            <w:tcW w:type="dxa" w:w="1662"/>
          </w:tcPr>
          <w:p>
            <w:r>
              <w:t>错题转卡与复习</w:t>
            </w:r>
          </w:p>
        </w:tc>
        <w:tc>
          <w:tcPr>
            <w:tcW w:type="dxa" w:w="1662"/>
          </w:tcPr>
          <w:p>
            <w:r>
              <w:t>错题一键转闪卡；四档评分；长期、冲刺和手动计划三种复习模式。</w:t>
            </w:r>
          </w:p>
        </w:tc>
        <w:tc>
          <w:tcPr>
            <w:tcW w:type="dxa" w:w="1662"/>
          </w:tcPr>
          <w:p>
            <w:r>
              <w:t>错题、评分、考试日期</w:t>
            </w:r>
          </w:p>
        </w:tc>
        <w:tc>
          <w:tcPr>
            <w:tcW w:type="dxa" w:w="1662"/>
          </w:tcPr>
          <w:p>
            <w:r>
              <w:t>到期队列、计划依据</w:t>
            </w:r>
          </w:p>
        </w:tc>
      </w:tr>
      <w:tr>
        <w:tc>
          <w:tcPr>
            <w:tcW w:type="dxa" w:w="1662"/>
          </w:tcPr>
          <w:p>
            <w:r>
              <w:t>F09</w:t>
            </w:r>
          </w:p>
        </w:tc>
        <w:tc>
          <w:tcPr>
            <w:tcW w:type="dxa" w:w="1662"/>
          </w:tcPr>
          <w:p>
            <w:r>
              <w:t>学习统计与设置</w:t>
            </w:r>
          </w:p>
        </w:tc>
        <w:tc>
          <w:tcPr>
            <w:tcW w:type="dxa" w:w="1662"/>
          </w:tcPr>
          <w:p>
            <w:r>
              <w:t>统计正确率、到期卡、连续学习；用户在“我的”配置 LLM 接口并测试。</w:t>
            </w:r>
          </w:p>
        </w:tc>
        <w:tc>
          <w:tcPr>
            <w:tcW w:type="dxa" w:w="1662"/>
          </w:tcPr>
          <w:p>
            <w:r>
              <w:t>学习记录、接口配置</w:t>
            </w:r>
          </w:p>
        </w:tc>
        <w:tc>
          <w:tcPr>
            <w:tcW w:type="dxa" w:w="1662"/>
          </w:tcPr>
          <w:p>
            <w:r>
              <w:t>看板与配置结果</w:t>
            </w:r>
          </w:p>
        </w:tc>
      </w:tr>
    </w:tbl>
    <w:p>
      <w:pPr>
        <w:spacing w:after="120"/>
      </w:pPr>
      <w:r/>
    </w:p>
    <w:p>
      <w:pPr>
        <w:pStyle w:val="4"/>
      </w:pPr>
      <w:r>
        <w:t>3.2 非功能需求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156"/>
          </w:tcPr>
          <w:p>
            <w:r>
              <w:rPr>
                <w:b/>
              </w:rPr>
              <w:t>实际要求与实现</w:t>
            </w:r>
          </w:p>
        </w:tc>
      </w:tr>
      <w:tr>
        <w:tc>
          <w:tcPr>
            <w:tcW w:type="dxa" w:w="4156"/>
          </w:tcPr>
          <w:p>
            <w:r>
              <w:t>可信性</w:t>
            </w:r>
          </w:p>
        </w:tc>
        <w:tc>
          <w:tcPr>
            <w:tcW w:type="dxa" w:w="4156"/>
          </w:tcPr>
          <w:p>
            <w:r>
              <w:t>资料依据与模型通识明确区分；引用文件名、页码/章节和片段由后端生成，不允许模型编造。</w:t>
            </w:r>
          </w:p>
        </w:tc>
      </w:tr>
      <w:tr>
        <w:tc>
          <w:tcPr>
            <w:tcW w:type="dxa" w:w="4156"/>
          </w:tcPr>
          <w:p>
            <w:r>
              <w:t>隐私</w:t>
            </w:r>
          </w:p>
        </w:tc>
        <w:tc>
          <w:tcPr>
            <w:tcW w:type="dxa" w:w="4156"/>
          </w:tcPr>
          <w:p>
            <w:r>
              <w:t>SQLite、原始资料和个人配置本地保存；未引入账号与云端同步。</w:t>
            </w:r>
          </w:p>
        </w:tc>
      </w:tr>
      <w:tr>
        <w:tc>
          <w:tcPr>
            <w:tcW w:type="dxa" w:w="4156"/>
          </w:tcPr>
          <w:p>
            <w:r>
              <w:t>可用性</w:t>
            </w:r>
          </w:p>
        </w:tc>
        <w:tc>
          <w:tcPr>
            <w:tcW w:type="dxa" w:w="4156"/>
          </w:tcPr>
          <w:p>
            <w:r>
              <w:t>上传、问答、测验、复习形成连续流程；移动端响应式；昼夜主题与减少动态效果适配。</w:t>
            </w:r>
          </w:p>
        </w:tc>
      </w:tr>
      <w:tr>
        <w:tc>
          <w:tcPr>
            <w:tcW w:type="dxa" w:w="4156"/>
          </w:tcPr>
          <w:p>
            <w:r>
              <w:t>可靠性</w:t>
            </w:r>
          </w:p>
        </w:tc>
        <w:tc>
          <w:tcPr>
            <w:tcW w:type="dxa" w:w="4156"/>
          </w:tcPr>
          <w:p>
            <w:r>
              <w:t>LLM 输出经 Pydantic 校验并定向重试；解析失败不阻塞其他资料；后台任务避免生成操作阻塞页面。</w:t>
            </w:r>
          </w:p>
        </w:tc>
      </w:tr>
      <w:tr>
        <w:tc>
          <w:tcPr>
            <w:tcW w:type="dxa" w:w="4156"/>
          </w:tcPr>
          <w:p>
            <w:r>
              <w:t>兼容性</w:t>
            </w:r>
          </w:p>
        </w:tc>
        <w:tc>
          <w:tcPr>
            <w:tcW w:type="dxa" w:w="4156"/>
          </w:tcPr>
          <w:p>
            <w:r>
              <w:t>支持现代浏览器；Android 调试包复用 Web 界面，通过局域网连接 Windows 后端。</w:t>
            </w:r>
          </w:p>
        </w:tc>
      </w:tr>
    </w:tbl>
    <w:p>
      <w:pPr>
        <w:spacing w:after="120"/>
      </w:pPr>
      <w:r/>
    </w:p>
    <w:p>
      <w:pPr>
        <w:pStyle w:val="3"/>
      </w:pPr>
      <w:r>
        <w:t>四、系统设计</w:t>
      </w:r>
    </w:p>
    <w:p>
      <w:pPr>
        <w:pStyle w:val="4"/>
      </w:pPr>
      <w:r>
        <w:t>4.1 整体架构</w:t>
      </w:r>
    </w:p>
    <w:p>
      <w:pPr>
        <w:ind w:left="403"/>
      </w:pPr>
      <w:r>
        <w:rPr>
          <w:rFonts w:ascii="Consolas" w:hAnsi="Consolas" w:eastAsia="Consolas"/>
          <w:sz w:val="18"/>
        </w:rPr>
        <w:t>React 前端（资料库 / 问答 / 讲解 / 测验 / 复习 / 我的）</w:t>
        <w:br/>
        <w:t xml:space="preserve">        │ HTTP + SSE</w:t>
        <w:br/>
        <w:t>FastAPI 业务层（解析、检索、LLM、测验、计划、统计）</w:t>
        <w:br/>
        <w:t xml:space="preserve">        │</w:t>
        <w:br/>
        <w:t>SQLite 数据库 + 本地上传原件 + MiniLM 向量模型</w:t>
        <w:br/>
        <w:t xml:space="preserve">        │</w:t>
        <w:br/>
        <w:t>OpenAI 兼容 LLM API（仅在用户于“我的”页配置后调用）</w:t>
      </w:r>
    </w:p>
    <w:p>
      <w:pPr>
        <w:spacing w:after="120"/>
      </w:pPr>
      <w:r>
        <w:t>前端负责交互、主题和复习计划的展示；后端负责文件解析、索引、检索、引用组装及持久化。前后端通过 Pydantic/TypeScript 类型契约约束数据格式。</w:t>
      </w:r>
    </w:p>
    <w:p>
      <w:pPr>
        <w:pStyle w:val="4"/>
      </w:pPr>
      <w:r>
        <w:t>4.2 模块划分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771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2771"/>
          </w:tcPr>
          <w:p>
            <w:r>
              <w:rPr>
                <w:b/>
              </w:rPr>
              <w:t>代表文件</w:t>
            </w:r>
          </w:p>
        </w:tc>
      </w:tr>
      <w:tr>
        <w:tc>
          <w:tcPr>
            <w:tcW w:type="dxa" w:w="2771"/>
          </w:tcPr>
          <w:p>
            <w:r>
              <w:t>前端页面</w:t>
            </w:r>
          </w:p>
        </w:tc>
        <w:tc>
          <w:tcPr>
            <w:tcW w:type="dxa" w:w="2771"/>
          </w:tcPr>
          <w:p>
            <w:r>
              <w:t>资料库、书库、问答、讲解、测验、复习、个人设置</w:t>
            </w:r>
          </w:p>
        </w:tc>
        <w:tc>
          <w:tcPr>
            <w:tcW w:type="dxa" w:w="2771"/>
          </w:tcPr>
          <w:p>
            <w:r>
              <w:t>frontend/src/pages/</w:t>
            </w:r>
          </w:p>
        </w:tc>
      </w:tr>
      <w:tr>
        <w:tc>
          <w:tcPr>
            <w:tcW w:type="dxa" w:w="2771"/>
          </w:tcPr>
          <w:p>
            <w:r>
              <w:t>前端组件</w:t>
            </w:r>
          </w:p>
        </w:tc>
        <w:tc>
          <w:tcPr>
            <w:tcW w:type="dxa" w:w="2771"/>
          </w:tcPr>
          <w:p>
            <w:r>
              <w:t>答案分层渲染、引用抽屉、思维导图、Toast 等</w:t>
            </w:r>
          </w:p>
        </w:tc>
        <w:tc>
          <w:tcPr>
            <w:tcW w:type="dxa" w:w="2771"/>
          </w:tcPr>
          <w:p>
            <w:r>
              <w:t>frontend/src/components/</w:t>
            </w:r>
          </w:p>
        </w:tc>
      </w:tr>
      <w:tr>
        <w:tc>
          <w:tcPr>
            <w:tcW w:type="dxa" w:w="2771"/>
          </w:tcPr>
          <w:p>
            <w:r>
              <w:t>接口层</w:t>
            </w:r>
          </w:p>
        </w:tc>
        <w:tc>
          <w:tcPr>
            <w:tcW w:type="dxa" w:w="2771"/>
          </w:tcPr>
          <w:p>
            <w:r>
              <w:t>资料、书库、问答、讲解、测验、计划、统计、配置 API</w:t>
            </w:r>
          </w:p>
        </w:tc>
        <w:tc>
          <w:tcPr>
            <w:tcW w:type="dxa" w:w="2771"/>
          </w:tcPr>
          <w:p>
            <w:r>
              <w:t>backend/app/api/</w:t>
            </w:r>
          </w:p>
        </w:tc>
      </w:tr>
      <w:tr>
        <w:tc>
          <w:tcPr>
            <w:tcW w:type="dxa" w:w="2771"/>
          </w:tcPr>
          <w:p>
            <w:r>
              <w:t>核心能力</w:t>
            </w:r>
          </w:p>
        </w:tc>
        <w:tc>
          <w:tcPr>
            <w:tcW w:type="dxa" w:w="2771"/>
          </w:tcPr>
          <w:p>
            <w:r>
              <w:t>多格式解析、语义分块、混合检索、LLM 调用与提示词</w:t>
            </w:r>
          </w:p>
        </w:tc>
        <w:tc>
          <w:tcPr>
            <w:tcW w:type="dxa" w:w="2771"/>
          </w:tcPr>
          <w:p>
            <w:r>
              <w:t>backend/app/core/</w:t>
            </w:r>
          </w:p>
        </w:tc>
      </w:tr>
      <w:tr>
        <w:tc>
          <w:tcPr>
            <w:tcW w:type="dxa" w:w="2771"/>
          </w:tcPr>
          <w:p>
            <w:r>
              <w:t>数据层</w:t>
            </w:r>
          </w:p>
        </w:tc>
        <w:tc>
          <w:tcPr>
            <w:tcW w:type="dxa" w:w="2771"/>
          </w:tcPr>
          <w:p>
            <w:r>
              <w:t>SQLAlchemy 模型、SQLite 初始化及迁移</w:t>
            </w:r>
          </w:p>
        </w:tc>
        <w:tc>
          <w:tcPr>
            <w:tcW w:type="dxa" w:w="2771"/>
          </w:tcPr>
          <w:p>
            <w:r>
              <w:t>backend/app/models.py、db.py</w:t>
            </w:r>
          </w:p>
        </w:tc>
      </w:tr>
    </w:tbl>
    <w:p>
      <w:pPr>
        <w:spacing w:after="120"/>
      </w:pPr>
      <w:r/>
    </w:p>
    <w:p>
      <w:pPr>
        <w:pStyle w:val="4"/>
      </w:pPr>
      <w:r>
        <w:t>4.3 数据存储设计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数据对象</w:t>
            </w:r>
          </w:p>
        </w:tc>
        <w:tc>
          <w:tcPr>
            <w:tcW w:type="dxa" w:w="2771"/>
          </w:tcPr>
          <w:p>
            <w:r>
              <w:rPr>
                <w:b/>
              </w:rPr>
              <w:t>关键字段</w:t>
            </w:r>
          </w:p>
        </w:tc>
        <w:tc>
          <w:tcPr>
            <w:tcW w:type="dxa" w:w="2771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771"/>
          </w:tcPr>
          <w:p>
            <w:r>
              <w:t>Course</w:t>
            </w:r>
          </w:p>
        </w:tc>
        <w:tc>
          <w:tcPr>
            <w:tcW w:type="dxa" w:w="2771"/>
          </w:tcPr>
          <w:p>
            <w:r>
              <w:t>id、name、exam_date</w:t>
            </w:r>
          </w:p>
        </w:tc>
        <w:tc>
          <w:tcPr>
            <w:tcW w:type="dxa" w:w="2771"/>
          </w:tcPr>
          <w:p>
            <w:r>
              <w:t>课程空间与考试日期</w:t>
            </w:r>
          </w:p>
        </w:tc>
      </w:tr>
      <w:tr>
        <w:tc>
          <w:tcPr>
            <w:tcW w:type="dxa" w:w="2771"/>
          </w:tcPr>
          <w:p>
            <w:r>
              <w:t>Document / Book</w:t>
            </w:r>
          </w:p>
        </w:tc>
        <w:tc>
          <w:tcPr>
            <w:tcW w:type="dxa" w:w="2771"/>
          </w:tcPr>
          <w:p>
            <w:r>
              <w:t>id、title、filename、status</w:t>
            </w:r>
          </w:p>
        </w:tc>
        <w:tc>
          <w:tcPr>
            <w:tcW w:type="dxa" w:w="2771"/>
          </w:tcPr>
          <w:p>
            <w:r>
              <w:t>课程资料和书库元信息</w:t>
            </w:r>
          </w:p>
        </w:tc>
      </w:tr>
      <w:tr>
        <w:tc>
          <w:tcPr>
            <w:tcW w:type="dxa" w:w="2771"/>
          </w:tcPr>
          <w:p>
            <w:r>
              <w:t>Chunk</w:t>
            </w:r>
          </w:p>
        </w:tc>
        <w:tc>
          <w:tcPr>
            <w:tcW w:type="dxa" w:w="2771"/>
          </w:tcPr>
          <w:p>
            <w:r>
              <w:t>owner、content、embedding、locator</w:t>
            </w:r>
          </w:p>
        </w:tc>
        <w:tc>
          <w:tcPr>
            <w:tcW w:type="dxa" w:w="2771"/>
          </w:tcPr>
          <w:p>
            <w:r>
              <w:t>检索片段、向量与页码/章节定位</w:t>
            </w:r>
          </w:p>
        </w:tc>
      </w:tr>
      <w:tr>
        <w:tc>
          <w:tcPr>
            <w:tcW w:type="dxa" w:w="2771"/>
          </w:tcPr>
          <w:p>
            <w:r>
              <w:t>ChatSession / Message</w:t>
            </w:r>
          </w:p>
        </w:tc>
        <w:tc>
          <w:tcPr>
            <w:tcW w:type="dxa" w:w="2771"/>
          </w:tcPr>
          <w:p>
            <w:r>
              <w:t>session_id、parent_message_id、role、content</w:t>
            </w:r>
          </w:p>
        </w:tc>
        <w:tc>
          <w:tcPr>
            <w:tcW w:type="dxa" w:w="2771"/>
          </w:tcPr>
          <w:p>
            <w:r>
              <w:t>多轮与分支会话</w:t>
            </w:r>
          </w:p>
        </w:tc>
      </w:tr>
      <w:tr>
        <w:tc>
          <w:tcPr>
            <w:tcW w:type="dxa" w:w="2771"/>
          </w:tcPr>
          <w:p>
            <w:r>
              <w:t>Citation</w:t>
            </w:r>
          </w:p>
        </w:tc>
        <w:tc>
          <w:tcPr>
            <w:tcW w:type="dxa" w:w="2771"/>
          </w:tcPr>
          <w:p>
            <w:r>
              <w:t>message_id、chunk_id、locator</w:t>
            </w:r>
          </w:p>
        </w:tc>
        <w:tc>
          <w:tcPr>
            <w:tcW w:type="dxa" w:w="2771"/>
          </w:tcPr>
          <w:p>
            <w:r>
              <w:t>引用与原文定位</w:t>
            </w:r>
          </w:p>
        </w:tc>
      </w:tr>
      <w:tr>
        <w:tc>
          <w:tcPr>
            <w:tcW w:type="dxa" w:w="2771"/>
          </w:tcPr>
          <w:p>
            <w:r>
              <w:t>Quiz / Flashcard / ReviewLog</w:t>
            </w:r>
          </w:p>
        </w:tc>
        <w:tc>
          <w:tcPr>
            <w:tcW w:type="dxa" w:w="2771"/>
          </w:tcPr>
          <w:p>
            <w:r>
              <w:t>题目、答案、卡片状态、评分</w:t>
            </w:r>
          </w:p>
        </w:tc>
        <w:tc>
          <w:tcPr>
            <w:tcW w:type="dxa" w:w="2771"/>
          </w:tcPr>
          <w:p>
            <w:r>
              <w:t>测验、错题转卡与复习记录</w:t>
            </w:r>
          </w:p>
        </w:tc>
      </w:tr>
      <w:tr>
        <w:tc>
          <w:tcPr>
            <w:tcW w:type="dxa" w:w="2771"/>
          </w:tcPr>
          <w:p>
            <w:r>
              <w:t>Profile</w:t>
            </w:r>
          </w:p>
        </w:tc>
        <w:tc>
          <w:tcPr>
            <w:tcW w:type="dxa" w:w="2771"/>
          </w:tcPr>
          <w:p>
            <w:r>
              <w:t>nickname、llm_base_url、llm_model、llm_api_key</w:t>
            </w:r>
          </w:p>
        </w:tc>
        <w:tc>
          <w:tcPr>
            <w:tcW w:type="dxa" w:w="2771"/>
          </w:tcPr>
          <w:p>
            <w:r>
              <w:t>本机用户设置与接口配置</w:t>
            </w:r>
          </w:p>
        </w:tc>
      </w:tr>
    </w:tbl>
    <w:p>
      <w:pPr>
        <w:spacing w:after="120"/>
      </w:pPr>
      <w:r/>
    </w:p>
    <w:p>
      <w:pPr>
        <w:pStyle w:val="4"/>
      </w:pPr>
      <w:r>
        <w:t>4.4 界面设计</w:t>
      </w:r>
    </w:p>
    <w:p>
      <w:pPr>
        <w:spacing w:after="120"/>
      </w:pPr>
      <w:r>
        <w:t>资料库页承担课程与资料入口；问答页同时提供资料范围选择、流式回答、引用跳转和分支导图；讲解页用于结构化理解；测验页用于从资料检验掌握程度；复习页呈现 FSRS 队列和计划依据；“我的”页集中管理 LLM 配置、学习统计与系统工作过程。界面使用北航蓝校徽、像素化背景和昼夜主题，保持答辩展示的一致性。</w:t>
      </w:r>
    </w:p>
    <w:p>
      <w:pPr>
        <w:pStyle w:val="3"/>
      </w:pPr>
      <w:r>
        <w:t>五、关键算法与技术实现</w:t>
      </w:r>
    </w:p>
    <w:p>
      <w:pPr>
        <w:pStyle w:val="4"/>
      </w:pPr>
      <w:r>
        <w:t>5.1 混合检索与可信引用</w:t>
      </w:r>
    </w:p>
    <w:p>
      <w:pPr>
        <w:spacing w:after="120"/>
      </w:pPr>
      <w:r>
        <w:t>检索同时使用 BM25 关键词匹配和 MiniLM 向量语义相似度，再以 RRF 融合排序。BM25 对专有名词敏感，向量检索可处理自然语言改写；RRF 让两个通道同时命中的片段获得更高排序。最终取前 6 个片段构造资料上下文。</w:t>
      </w:r>
    </w:p>
    <w:p>
      <w:pPr>
        <w:ind w:left="403"/>
      </w:pPr>
      <w:r>
        <w:rPr>
          <w:rFonts w:ascii="Consolas" w:hAnsi="Consolas" w:eastAsia="Consolas"/>
          <w:sz w:val="18"/>
        </w:rPr>
        <w:t>score(chunk) = Σ 1 / (k + rank + 1)  ,  k = 60</w:t>
        <w:br/>
        <w:t>候选 = BM25_top20 ∪ Vector_top20</w:t>
        <w:br/>
        <w:t>结果 = sort_by_RRF(候选)[:6]</w:t>
      </w:r>
    </w:p>
    <w:p>
      <w:pPr>
        <w:spacing w:after="120"/>
      </w:pPr>
      <w:r>
        <w:t>引用不是让大模型生成页码，而是从检索出的 Chunk 直接取得 filename、locator 和 snippet 后返回前端。这避免“看起来有出处但页码错误”的引用幻觉。</w:t>
      </w:r>
    </w:p>
    <w:p>
      <w:pPr>
        <w:pStyle w:val="4"/>
      </w:pPr>
      <w:r>
        <w:t>5.2 LLM 结构化输出与流式渲染</w:t>
      </w:r>
    </w:p>
    <w:p>
      <w:pPr>
        <w:spacing w:after="120"/>
      </w:pPr>
      <w:r>
        <w:t>问答、讲解和测验都要求模型按既定 JSON 契约输出。后端用 Pydantic 校验枚举、字段长度和四选一题目数量；不合规时将具体错误带回模型进行最多两次定向重试。问答采用 SSE 逐段发送 token，前端依据 layer 标签把资料依据与通识内容放入不同区域。</w:t>
      </w:r>
    </w:p>
    <w:p>
      <w:pPr>
        <w:pStyle w:val="4"/>
      </w:pPr>
      <w:r>
        <w:t>5.3 FSRS 复习与计划解释</w:t>
      </w:r>
    </w:p>
    <w:p>
      <w:pPr>
        <w:spacing w:after="120"/>
      </w:pPr>
      <w:r>
        <w:t>每张闪卡保存 FSRS 状态，用户以“忘了、困难、良好、简单”四档评分更新下次到期时间。冲刺计划结合到期临近度、记忆稳定性和错题来源排序；计划页面展示“错题较多、低稳定度、今日到期、距考试天数”等生成理由，帮助用户理解系统为何安排某日任务。</w:t>
      </w:r>
    </w:p>
    <w:p>
      <w:pPr>
        <w:pStyle w:val="4"/>
      </w:pPr>
      <w:r>
        <w:t>5.4 工程难点与解决方案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>
              <w:rPr>
                <w:b/>
              </w:rPr>
              <w:t>难点</w:t>
            </w:r>
          </w:p>
        </w:tc>
        <w:tc>
          <w:tcPr>
            <w:tcW w:type="dxa" w:w="4156"/>
          </w:tcPr>
          <w:p>
            <w:r>
              <w:rPr>
                <w:b/>
              </w:rPr>
              <w:t>解决方案</w:t>
            </w:r>
          </w:p>
        </w:tc>
      </w:tr>
      <w:tr>
        <w:tc>
          <w:tcPr>
            <w:tcW w:type="dxa" w:w="4156"/>
          </w:tcPr>
          <w:p>
            <w:r>
              <w:t>本地嵌入模型首次加载可能死锁</w:t>
            </w:r>
          </w:p>
        </w:tc>
        <w:tc>
          <w:tcPr>
            <w:tcW w:type="dxa" w:w="4156"/>
          </w:tcPr>
          <w:p>
            <w:r>
              <w:t>在主线程预热模型，并使用双重检查保护首次初始化。</w:t>
            </w:r>
          </w:p>
        </w:tc>
      </w:tr>
      <w:tr>
        <w:tc>
          <w:tcPr>
            <w:tcW w:type="dxa" w:w="4156"/>
          </w:tcPr>
          <w:p>
            <w:r>
              <w:t>回答引用可能被模型编造</w:t>
            </w:r>
          </w:p>
        </w:tc>
        <w:tc>
          <w:tcPr>
            <w:tcW w:type="dxa" w:w="4156"/>
          </w:tcPr>
          <w:p>
            <w:r>
              <w:t>后端从真实检索片段组装引用，模型不产生页码。</w:t>
            </w:r>
          </w:p>
        </w:tc>
      </w:tr>
      <w:tr>
        <w:tc>
          <w:tcPr>
            <w:tcW w:type="dxa" w:w="4156"/>
          </w:tcPr>
          <w:p>
            <w:r>
              <w:t>分支导图节点点击抖动</w:t>
            </w:r>
          </w:p>
        </w:tc>
        <w:tc>
          <w:tcPr>
            <w:tcW w:type="dxa" w:w="4156"/>
          </w:tcPr>
          <w:p>
            <w:r>
              <w:t>移除会覆盖 SVG 定位 transform 的悬停位移，只保留透明度反馈。</w:t>
            </w:r>
          </w:p>
        </w:tc>
      </w:tr>
      <w:tr>
        <w:tc>
          <w:tcPr>
            <w:tcW w:type="dxa" w:w="4156"/>
          </w:tcPr>
          <w:p>
            <w:r>
              <w:t>用户未配置 API 却仍能回答</w:t>
            </w:r>
          </w:p>
        </w:tc>
        <w:tc>
          <w:tcPr>
            <w:tcW w:type="dxa" w:w="4156"/>
          </w:tcPr>
          <w:p>
            <w:r>
              <w:t>取消 .env 作为业务调用回退；仅“我的”页保存完整配置后才允许调用。</w:t>
            </w:r>
          </w:p>
        </w:tc>
      </w:tr>
      <w:tr>
        <w:tc>
          <w:tcPr>
            <w:tcW w:type="dxa" w:w="4156"/>
          </w:tcPr>
          <w:p>
            <w:r>
              <w:t>安装目录不可写</w:t>
            </w:r>
          </w:p>
        </w:tc>
        <w:tc>
          <w:tcPr>
            <w:tcW w:type="dxa" w:w="4156"/>
          </w:tcPr>
          <w:p>
            <w:r>
              <w:t>桌面打包启动器通过运行时数据目录将 SQLite 与上传资料放到用户目录。</w:t>
            </w:r>
          </w:p>
        </w:tc>
      </w:tr>
    </w:tbl>
    <w:p>
      <w:pPr>
        <w:spacing w:after="120"/>
      </w:pPr>
      <w:r/>
    </w:p>
    <w:p>
      <w:pPr>
        <w:pStyle w:val="3"/>
      </w:pPr>
      <w:r>
        <w:t>六、测试与验证</w:t>
      </w:r>
    </w:p>
    <w:p>
      <w:pPr>
        <w:pStyle w:val="4"/>
      </w:pPr>
      <w:r>
        <w:t>6.1 自动化与构建验证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156"/>
          </w:tcPr>
          <w:p>
            <w:r>
              <w:rPr>
                <w:b/>
              </w:rPr>
              <w:t>已完成验证</w:t>
            </w:r>
          </w:p>
        </w:tc>
      </w:tr>
      <w:tr>
        <w:tc>
          <w:tcPr>
            <w:tcW w:type="dxa" w:w="4156"/>
          </w:tcPr>
          <w:p>
            <w:r>
              <w:t>后端接口</w:t>
            </w:r>
          </w:p>
        </w:tc>
        <w:tc>
          <w:tcPr>
            <w:tcW w:type="dxa" w:w="4156"/>
          </w:tcPr>
          <w:p>
            <w:r>
              <w:t>pytest 覆盖资料、问答、测验、书库、配置与分支树等接口；历史迭代记录含 41 项测试通过。</w:t>
            </w:r>
          </w:p>
        </w:tc>
      </w:tr>
      <w:tr>
        <w:tc>
          <w:tcPr>
            <w:tcW w:type="dxa" w:w="4156"/>
          </w:tcPr>
          <w:p>
            <w:r>
              <w:t>真实 LLM 链路</w:t>
            </w:r>
          </w:p>
        </w:tc>
        <w:tc>
          <w:tcPr>
            <w:tcW w:type="dxa" w:w="4156"/>
          </w:tcPr>
          <w:p>
            <w:r>
              <w:t>已用 OpenAI 兼容接口验证双层问答、多轮追问、测验、错题转卡、讲解与统计。</w:t>
            </w:r>
          </w:p>
        </w:tc>
      </w:tr>
      <w:tr>
        <w:tc>
          <w:tcPr>
            <w:tcW w:type="dxa" w:w="4156"/>
          </w:tcPr>
          <w:p>
            <w:r>
              <w:t>前端构建</w:t>
            </w:r>
          </w:p>
        </w:tc>
        <w:tc>
          <w:tcPr>
            <w:tcW w:type="dxa" w:w="4156"/>
          </w:tcPr>
          <w:p>
            <w:r>
              <w:t>npm run build 多次通过，验证 TypeScript 编译与生产构建。</w:t>
            </w:r>
          </w:p>
        </w:tc>
      </w:tr>
      <w:tr>
        <w:tc>
          <w:tcPr>
            <w:tcW w:type="dxa" w:w="4156"/>
          </w:tcPr>
          <w:p>
            <w:r>
              <w:t>桌面后端</w:t>
            </w:r>
          </w:p>
        </w:tc>
        <w:tc>
          <w:tcPr>
            <w:tcW w:type="dxa" w:w="4156"/>
          </w:tcPr>
          <w:p>
            <w:r>
              <w:t>PyInstaller 生成 HangyouServer.exe，并访问 /api/health 获得 ok 响应。</w:t>
            </w:r>
          </w:p>
        </w:tc>
      </w:tr>
      <w:tr>
        <w:tc>
          <w:tcPr>
            <w:tcW w:type="dxa" w:w="4156"/>
          </w:tcPr>
          <w:p>
            <w:r>
              <w:t>Android</w:t>
            </w:r>
          </w:p>
        </w:tc>
        <w:tc>
          <w:tcPr>
            <w:tcW w:type="dxa" w:w="4156"/>
          </w:tcPr>
          <w:p>
            <w:r>
              <w:t>Capacitor 工程可构建 app-debug.apk；图标替换为北航校徽。</w:t>
            </w:r>
          </w:p>
        </w:tc>
      </w:tr>
    </w:tbl>
    <w:p>
      <w:pPr>
        <w:spacing w:after="120"/>
      </w:pPr>
      <w:r/>
    </w:p>
    <w:p>
      <w:pPr>
        <w:pStyle w:val="4"/>
      </w:pPr>
      <w:r>
        <w:t>6.2 建议答辩现场复测用例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771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771"/>
          </w:tcPr>
          <w:p>
            <w:r>
              <w:rPr>
                <w:b/>
              </w:rPr>
              <w:t>预期展示</w:t>
            </w:r>
          </w:p>
        </w:tc>
      </w:tr>
      <w:tr>
        <w:tc>
          <w:tcPr>
            <w:tcW w:type="dxa" w:w="2771"/>
          </w:tcPr>
          <w:p>
            <w:r>
              <w:t>可信问答</w:t>
            </w:r>
          </w:p>
        </w:tc>
        <w:tc>
          <w:tcPr>
            <w:tcW w:type="dxa" w:w="2771"/>
          </w:tcPr>
          <w:p>
            <w:r>
              <w:t>上传数据结构课程 PDF，问“红黑树插入后如何恢复平衡”</w:t>
            </w:r>
          </w:p>
        </w:tc>
        <w:tc>
          <w:tcPr>
            <w:tcW w:type="dxa" w:w="2771"/>
          </w:tcPr>
          <w:p>
            <w:r>
              <w:t>资料依据区带页码引用；点击可见原文；通识补充单独标识。</w:t>
            </w:r>
          </w:p>
        </w:tc>
      </w:tr>
      <w:tr>
        <w:tc>
          <w:tcPr>
            <w:tcW w:type="dxa" w:w="2771"/>
          </w:tcPr>
          <w:p>
            <w:r>
              <w:t>范围控制</w:t>
            </w:r>
          </w:p>
        </w:tc>
        <w:tc>
          <w:tcPr>
            <w:tcW w:type="dxa" w:w="2771"/>
          </w:tcPr>
          <w:p>
            <w:r>
              <w:t>不勾选某书与勾选后分别提问</w:t>
            </w:r>
          </w:p>
        </w:tc>
        <w:tc>
          <w:tcPr>
            <w:tcW w:type="dxa" w:w="2771"/>
          </w:tcPr>
          <w:p>
            <w:r>
              <w:t>勾选后引用出现《书名》，证明检索范围有效。</w:t>
            </w:r>
          </w:p>
        </w:tc>
      </w:tr>
      <w:tr>
        <w:tc>
          <w:tcPr>
            <w:tcW w:type="dxa" w:w="2771"/>
          </w:tcPr>
          <w:p>
            <w:r>
              <w:t>学习闭环</w:t>
            </w:r>
          </w:p>
        </w:tc>
        <w:tc>
          <w:tcPr>
            <w:tcW w:type="dxa" w:w="2771"/>
          </w:tcPr>
          <w:p>
            <w:r>
              <w:t>生成测验并故意答错一题，再转闪卡</w:t>
            </w:r>
          </w:p>
        </w:tc>
        <w:tc>
          <w:tcPr>
            <w:tcW w:type="dxa" w:w="2771"/>
          </w:tcPr>
          <w:p>
            <w:r>
              <w:t>复习页出现该卡；评分后显示下一次间隔。</w:t>
            </w:r>
          </w:p>
        </w:tc>
      </w:tr>
      <w:tr>
        <w:tc>
          <w:tcPr>
            <w:tcW w:type="dxa" w:w="2771"/>
          </w:tcPr>
          <w:p>
            <w:r>
              <w:t>分支导图</w:t>
            </w:r>
          </w:p>
        </w:tc>
        <w:tc>
          <w:tcPr>
            <w:tcW w:type="dxa" w:w="2771"/>
          </w:tcPr>
          <w:p>
            <w:r>
              <w:t>在历史回答下点“就此提问”，再在导图点击旧节点</w:t>
            </w:r>
          </w:p>
        </w:tc>
        <w:tc>
          <w:tcPr>
            <w:tcW w:type="dxa" w:w="2771"/>
          </w:tcPr>
          <w:p>
            <w:r>
              <w:t>产生新分支且可回到旧对话，不删除历史。</w:t>
            </w:r>
          </w:p>
        </w:tc>
      </w:tr>
      <w:tr>
        <w:tc>
          <w:tcPr>
            <w:tcW w:type="dxa" w:w="2771"/>
          </w:tcPr>
          <w:p>
            <w:r>
              <w:t>可解释计划</w:t>
            </w:r>
          </w:p>
        </w:tc>
        <w:tc>
          <w:tcPr>
            <w:tcW w:type="dxa" w:w="2771"/>
          </w:tcPr>
          <w:p>
            <w:r>
              <w:t>设置考试日期、生成冲刺计划</w:t>
            </w:r>
          </w:p>
        </w:tc>
        <w:tc>
          <w:tcPr>
            <w:tcW w:type="dxa" w:w="2771"/>
          </w:tcPr>
          <w:p>
            <w:r>
              <w:t>每个日期显示错题、到期卡或考试临近等理由。</w:t>
            </w:r>
          </w:p>
        </w:tc>
      </w:tr>
    </w:tbl>
    <w:p>
      <w:pPr>
        <w:spacing w:after="120"/>
      </w:pPr>
      <w:r/>
    </w:p>
    <w:p>
      <w:pPr>
        <w:pStyle w:val="3"/>
      </w:pPr>
      <w:r>
        <w:t>七、部署与使用说明</w:t>
      </w:r>
    </w:p>
    <w:p>
      <w:pPr>
        <w:pStyle w:val="4"/>
      </w:pPr>
      <w:r>
        <w:t>7.1 本地启动</w:t>
      </w:r>
    </w:p>
    <w:p>
      <w:pPr>
        <w:ind w:left="403"/>
      </w:pPr>
      <w:r>
        <w:rPr>
          <w:rFonts w:ascii="Consolas" w:hAnsi="Consolas" w:eastAsia="Consolas"/>
          <w:sz w:val="18"/>
        </w:rPr>
        <w:t>cd backend</w:t>
        <w:br/>
        <w:t>python -m venv venv</w:t>
        <w:br/>
        <w:t>venv\Scripts\activate</w:t>
        <w:br/>
        <w:t>pip install -r requirements.txt</w:t>
        <w:br/>
        <w:t>python run.py</w:t>
        <w:br/>
        <w:br/>
        <w:t># 新开终端</w:t>
        <w:br/>
        <w:t>cd frontend</w:t>
        <w:br/>
        <w:t>npm install</w:t>
        <w:br/>
        <w:t>npm run dev</w:t>
      </w:r>
    </w:p>
    <w:p>
      <w:pPr>
        <w:spacing w:after="120"/>
      </w:pPr>
      <w:r>
        <w:t>浏览器访问 http://localhost:5173。首次使用进入“我的 → AI 服务设置”，填写接口地址、模型名和 API Key 并点击“保存并测试连接”。未配置时，问答、测验和讲解不会调用历史环境变量。</w:t>
      </w:r>
    </w:p>
    <w:p>
      <w:pPr>
        <w:pStyle w:val="4"/>
      </w:pPr>
      <w:r>
        <w:t>7.2 核心使用流程</w:t>
      </w:r>
    </w:p>
    <w:p>
      <w:pPr>
        <w:spacing w:after="120"/>
      </w:pPr>
      <w:r>
        <w:t>1. 在资料库创建课程并上传资料，等待解析完成。 2. 在问答页选择课程和可选书籍，提问并打开引用核对。 3. 在测验页从资料生成题目，答错后转为闪卡。 4. 在复习页选择长期、冲刺或手动计划，按四档评分完成复习。 5. 在“我的”查看统计与系统工作过程。</w:t>
      </w:r>
    </w:p>
    <w:p>
      <w:pPr>
        <w:pStyle w:val="4"/>
      </w:pPr>
      <w:r>
        <w:t>7.3 项目目录结构</w:t>
      </w:r>
    </w:p>
    <w:p>
      <w:pPr>
        <w:ind w:left="403"/>
      </w:pPr>
      <w:r>
        <w:rPr>
          <w:rFonts w:ascii="Consolas" w:hAnsi="Consolas" w:eastAsia="Consolas"/>
          <w:sz w:val="18"/>
        </w:rPr>
        <w:t>Real-mini-semester/</w:t>
        <w:br/>
        <w:t>├── frontend/        React + TypeScript 前端与 Capacitor Android 工程</w:t>
        <w:br/>
        <w:t>├── backend/         FastAPI、SQLite、解析/检索/LLM 核心逻辑</w:t>
        <w:br/>
        <w:t>├── desktop/         Electron Windows 打包工程</w:t>
        <w:br/>
        <w:t>├── docs/            开发、安装与调研文档</w:t>
        <w:br/>
        <w:t>├── AGENTS.md        长期协作规范</w:t>
        <w:br/>
        <w:t>└── HANDOFF.md       可持续交接记录</w:t>
      </w:r>
    </w:p>
    <w:p>
      <w:pPr>
        <w:pStyle w:val="3"/>
      </w:pPr>
      <w:r>
        <w:t>八、项目总结</w:t>
      </w:r>
    </w:p>
    <w:p>
      <w:pPr>
        <w:pStyle w:val="4"/>
      </w:pPr>
      <w:r>
        <w:t>8.1 收获与反思</w:t>
      </w:r>
    </w:p>
    <w:p>
      <w:pPr>
        <w:spacing w:after="120"/>
      </w:pPr>
      <w:r>
        <w:t>本项目让我完成了从交互界面、后端 API、数据建模到 AI 服务集成的一次完整全栈实践。最重要的认识不是“调用大模型”，而是为模型输出建立边界：资料检索、引用生成、结构化校验和前端分层显示共同决定结果是否可信。实现过程中还处理了模型预热、异步任务、跨页面状态和分支会话等工程问题。</w:t>
      </w:r>
    </w:p>
    <w:p>
      <w:pPr>
        <w:spacing w:after="120"/>
      </w:pPr>
      <w:r>
        <w:t>目前系统仍有边界：扫描版 PDF 不支持 OCR；复杂双栏 PDF 的文本顺序可能受解析器影响；本地 SQLite 适合个人学习但不适合多人在线协作；FSRS 仍使用通用参数，尚未依据个人复习日志训练。</w:t>
      </w:r>
    </w:p>
    <w:p>
      <w:pPr>
        <w:pStyle w:val="4"/>
      </w:pPr>
      <w:r>
        <w:t>8.2 后续改进方向</w:t>
      </w:r>
    </w:p>
    <w:p>
      <w:pPr>
        <w:spacing w:after="120"/>
      </w:pPr>
      <w:r>
        <w:t>后续可补充真实课程资料的检索评测集和答辩截图；为复杂文档增加 OCR 与重排；在明确用户授权后接入 Supabase 实现跨设备同步；基于积累的 review_logs 做 FSRS 个体化参数训练；将 Windows Web 运行方式与 Android 局域网访问进一步简化。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-apple-system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F Mono">
    <w:altName w:val="Cambria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7" w:lineRule="auto"/>
      </w:pPr>
      <w:r>
        <w:separator/>
      </w:r>
    </w:p>
  </w:footnote>
  <w:footnote w:type="continuationSeparator" w:id="1">
    <w:p>
      <w:pPr>
        <w:spacing w:before="0" w:after="0" w:line="36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0271"/>
    <w:rsid w:val="0029639D"/>
    <w:rsid w:val="00326F90"/>
    <w:rsid w:val="00347011"/>
    <w:rsid w:val="003928DC"/>
    <w:rsid w:val="004011D7"/>
    <w:rsid w:val="0048577B"/>
    <w:rsid w:val="00964DFC"/>
    <w:rsid w:val="00AA1D8D"/>
    <w:rsid w:val="00B47730"/>
    <w:rsid w:val="00CB0664"/>
    <w:rsid w:val="00CF7479"/>
    <w:rsid w:val="00EF60B5"/>
    <w:rsid w:val="00F14010"/>
    <w:rsid w:val="00F2754F"/>
    <w:rsid w:val="00FC693F"/>
    <w:rsid w:val="1470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7" w:lineRule="auto"/>
    </w:pPr>
    <w:rPr>
      <w:rFonts w:ascii="宋体" w:hAnsi="宋体" w:eastAsia="宋体" w:cs="Times New Roman"/>
      <w:color w:val="1A1A1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90"/>
      <w:jc w:val="center"/>
      <w:outlineLvl w:val="0"/>
    </w:pPr>
    <w:rPr>
      <w:rFonts w:ascii="宋体" w:hAnsi="宋体" w:eastAsia="宋体"/>
      <w:b/>
      <w:bCs/>
      <w:color w:val="185FA5"/>
      <w:sz w:val="3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/>
      <w:b/>
      <w:bCs/>
      <w:color w:val="185FA5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/>
      <w:color w:val="243F6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/>
      <w:i/>
      <w:iCs/>
      <w:color w:val="243F6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/>
      <w:i/>
      <w:iCs/>
      <w:color w:val="40404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/>
      <w:color w:val="4F81BD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/>
      <w:i/>
      <w:iCs/>
      <w:color w:val="40404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MS Mincho" w:cs="Times New Roman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Calibri" w:hAnsi="Calibri" w:eastAsia="MS Gothic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Times New Roman"/>
        <w:b/>
        <w:bCs/>
      </w:rPr>
    </w:tblStylePr>
    <w:tblStylePr w:type="lastCol">
      <w:rPr>
        <w:rFonts w:ascii="Calibri" w:hAnsi="Calibri" w:eastAsia="MS Gothic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Calibri" w:hAnsi="Calibri" w:eastAsia="MS Gothic"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rPr>
      <w:rFonts w:ascii="Calibri" w:hAnsi="Calibri" w:eastAsia="MS Gothic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rPr>
      <w:rFonts w:ascii="Calibri" w:hAnsi="Calibri" w:eastAsia="MS Gothic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rPr>
      <w:rFonts w:ascii="Calibri" w:hAnsi="Calibri" w:eastAsia="MS Gothic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rPr>
      <w:rFonts w:ascii="Calibri" w:hAnsi="Calibri" w:eastAsia="MS Gothic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rPr>
      <w:rFonts w:ascii="Calibri" w:hAnsi="Calibri" w:eastAsia="MS Gothic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rPr>
      <w:rFonts w:ascii="Calibri" w:hAnsi="Calibri" w:eastAsia="MS Gothic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rPr>
      <w:rFonts w:ascii="Calibri" w:hAnsi="Calibri" w:eastAsia="MS Gothic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qFormat/>
    <w:uiPriority w:val="22"/>
    <w:rPr>
      <w:b/>
      <w:bCs/>
    </w:rPr>
  </w:style>
  <w:style w:type="character" w:styleId="134">
    <w:name w:val="Emphasis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="Cambria" w:hAnsi="Cambria" w:eastAsia="MS Mincho" w:cs="Times New Roman"/>
      <w:sz w:val="22"/>
      <w:szCs w:val="22"/>
      <w:lang w:val="en-US" w:eastAsia="en-US" w:bidi="ar-SA"/>
    </w:rPr>
  </w:style>
  <w:style w:type="character" w:customStyle="1" w:styleId="138">
    <w:name w:val="标题 1 字符"/>
    <w:link w:val="3"/>
    <w:uiPriority w:val="9"/>
    <w:rPr>
      <w:rFonts w:ascii="Calibri" w:hAnsi="Calibri" w:eastAsia="MS Gothic" w:cs="Times New Roman"/>
      <w:b/>
      <w:bCs/>
      <w:color w:val="365F91"/>
      <w:sz w:val="28"/>
      <w:szCs w:val="28"/>
    </w:rPr>
  </w:style>
  <w:style w:type="character" w:customStyle="1" w:styleId="139">
    <w:name w:val="标题 2 字符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40">
    <w:name w:val="标题 3 字符"/>
    <w:link w:val="5"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41">
    <w:name w:val="标题 字符"/>
    <w:link w:val="31"/>
    <w:qFormat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character" w:customStyle="1" w:styleId="142">
    <w:name w:val="副标题 字符"/>
    <w:link w:val="26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link w:val="17"/>
    <w:qFormat/>
    <w:uiPriority w:val="99"/>
    <w:rPr>
      <w:sz w:val="16"/>
      <w:szCs w:val="16"/>
    </w:rPr>
  </w:style>
  <w:style w:type="character" w:customStyle="1" w:styleId="147">
    <w:name w:val="宏文本 字符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引用 字符"/>
    <w:link w:val="148"/>
    <w:qFormat/>
    <w:uiPriority w:val="29"/>
    <w:rPr>
      <w:i/>
      <w:iCs/>
      <w:color w:val="000000"/>
    </w:rPr>
  </w:style>
  <w:style w:type="character" w:customStyle="1" w:styleId="150">
    <w:name w:val="标题 4 字符"/>
    <w:link w:val="6"/>
    <w:semiHidden/>
    <w:qFormat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51">
    <w:name w:val="标题 5 字符"/>
    <w:link w:val="7"/>
    <w:semiHidden/>
    <w:qFormat/>
    <w:uiPriority w:val="9"/>
    <w:rPr>
      <w:rFonts w:ascii="Calibri" w:hAnsi="Calibri" w:eastAsia="MS Gothic" w:cs="Times New Roman"/>
      <w:color w:val="243F60"/>
    </w:rPr>
  </w:style>
  <w:style w:type="character" w:customStyle="1" w:styleId="152">
    <w:name w:val="标题 6 字符"/>
    <w:link w:val="8"/>
    <w:semiHidden/>
    <w:qFormat/>
    <w:uiPriority w:val="9"/>
    <w:rPr>
      <w:rFonts w:ascii="Calibri" w:hAnsi="Calibri" w:eastAsia="MS Gothic" w:cs="Times New Roman"/>
      <w:i/>
      <w:iCs/>
      <w:color w:val="243F60"/>
    </w:rPr>
  </w:style>
  <w:style w:type="character" w:customStyle="1" w:styleId="153">
    <w:name w:val="标题 7 字符"/>
    <w:link w:val="9"/>
    <w:semiHidden/>
    <w:qFormat/>
    <w:uiPriority w:val="9"/>
    <w:rPr>
      <w:rFonts w:ascii="Calibri" w:hAnsi="Calibri" w:eastAsia="MS Gothic" w:cs="Times New Roman"/>
      <w:i/>
      <w:iCs/>
      <w:color w:val="404040"/>
    </w:rPr>
  </w:style>
  <w:style w:type="character" w:customStyle="1" w:styleId="154">
    <w:name w:val="标题 8 字符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55">
    <w:name w:val="标题 9 字符"/>
    <w:link w:val="11"/>
    <w:semiHidden/>
    <w:qFormat/>
    <w:uiPriority w:val="9"/>
    <w:rPr>
      <w:rFonts w:ascii="Calibri" w:hAnsi="Calibri" w:eastAsia="MS Gothic" w:cs="Times New Roman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明显引用 字符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qFormat/>
    <w:uiPriority w:val="19"/>
    <w:rPr>
      <w:i/>
      <w:iCs/>
      <w:color w:val="808080"/>
    </w:rPr>
  </w:style>
  <w:style w:type="character" w:customStyle="1" w:styleId="159">
    <w:name w:val="Intense Emphasis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2517</Words>
  <Characters>3148</Characters>
  <Lines>28</Lines>
  <Paragraphs>7</Paragraphs>
  <TotalTime>1280</TotalTime>
  <ScaleCrop>false</ScaleCrop>
  <LinksUpToDate>false</LinksUpToDate>
  <CharactersWithSpaces>3522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2026-08-23T07:21:00Z</dcterms:created>
  <dc:creator>python-docx</dc:creator>
  <dc:description>generated by python-docx</dc:description>
  <cp:lastModifiedBy>宋浩然</cp:lastModifiedBy>
  <dcterms:modified xsi:type="dcterms:W3CDTF">2026-09-05T12:25:32Z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eyJoZGlkIjoiYzk1ZjkxNDJmOGMwZjlkNjIzZjAxOTk1MmU1MjU2NTAiLCJ1c2VySWQiOiIxNzI1OTc5ODY5In0=</vt:lpwstr>
  </property>
  <property fmtid="{D5CDD505-2E9C-101B-9397-08002B2CF9AE}" pid="3" name="KSOProductBuildVer">
    <vt:lpwstr>2052-12.1.0.28505</vt:lpwstr>
  </property>
  <property fmtid="{D5CDD505-2E9C-101B-9397-08002B2CF9AE}" pid="4" name="ICV">
    <vt:lpwstr>AB5A94AA7CC046969C25E931B514AB44_13</vt:lpwstr>
  </property>
</Properties>
</file>